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AD1" w14:textId="77777777" w:rsidR="004F4330" w:rsidRPr="002753BB" w:rsidRDefault="004F4330" w:rsidP="002753BB">
      <w:pPr>
        <w:rPr>
          <w:rFonts w:cstheme="minorHAnsi"/>
        </w:rPr>
      </w:pPr>
      <w:r w:rsidRPr="002753BB">
        <w:rPr>
          <w:rFonts w:cstheme="minorHAnsi"/>
        </w:rPr>
        <w:t>ΦΡΟΝΤΙΣΤΗΡΙΑ ΕΦΗΒΩΝ</w:t>
      </w:r>
    </w:p>
    <w:p w14:paraId="5BE83327" w14:textId="4BB5A251" w:rsidR="008B14B6" w:rsidRPr="002753BB" w:rsidRDefault="004F4330" w:rsidP="002753BB">
      <w:pPr>
        <w:rPr>
          <w:rFonts w:cstheme="minorHAnsi"/>
        </w:rPr>
      </w:pPr>
      <w:r w:rsidRPr="002753BB">
        <w:rPr>
          <w:rFonts w:cstheme="minorHAnsi"/>
          <w:noProof/>
        </w:rPr>
        <w:drawing>
          <wp:inline distT="0" distB="0" distL="0" distR="0" wp14:anchorId="1220D446" wp14:editId="107C398E">
            <wp:extent cx="1965960" cy="464820"/>
            <wp:effectExtent l="0" t="0" r="0" b="0"/>
            <wp:docPr id="180427101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80ECB" w14:textId="0EC97689" w:rsidR="004F4330" w:rsidRPr="002753BB" w:rsidRDefault="004F4330" w:rsidP="002753BB">
      <w:pPr>
        <w:rPr>
          <w:rFonts w:cstheme="minorHAnsi"/>
        </w:rPr>
      </w:pPr>
      <w:r w:rsidRPr="002753BB">
        <w:rPr>
          <w:rFonts w:cstheme="minorHAnsi"/>
        </w:rPr>
        <w:t>ΠΑΝΕΛΛΗΝΙΕΣ 2026</w:t>
      </w:r>
    </w:p>
    <w:p w14:paraId="490242DE" w14:textId="3DD13890" w:rsidR="004F4330" w:rsidRPr="002753BB" w:rsidRDefault="004F4330" w:rsidP="002753BB">
      <w:pPr>
        <w:rPr>
          <w:rFonts w:cstheme="minorHAnsi"/>
        </w:rPr>
      </w:pPr>
      <w:r w:rsidRPr="002753BB">
        <w:rPr>
          <w:rFonts w:cstheme="minorHAnsi"/>
        </w:rPr>
        <w:t>ΥΓΙΕΙΝΗ  – Γ ΕΠΑΛ</w:t>
      </w:r>
    </w:p>
    <w:p w14:paraId="5AE193B3" w14:textId="77777777" w:rsidR="004F4330" w:rsidRPr="002753BB" w:rsidRDefault="004F4330" w:rsidP="002753BB">
      <w:pPr>
        <w:rPr>
          <w:rFonts w:cstheme="minorHAnsi"/>
        </w:rPr>
      </w:pPr>
    </w:p>
    <w:p w14:paraId="55C06208" w14:textId="77777777" w:rsidR="004E07F4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ΘΕΜΑ Α</w:t>
      </w:r>
    </w:p>
    <w:p w14:paraId="507DB030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Α1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α. Λάθος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β. Σωστό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γ. Σωστό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δ. Σωστό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ε. Λάθος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στ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>. Λάθος</w:t>
      </w:r>
    </w:p>
    <w:p w14:paraId="00DCEEC5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Α2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1-β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2-α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3-δ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4-γ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5-στ</w:t>
      </w:r>
    </w:p>
    <w:p w14:paraId="36C09A10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Α3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α) 1 (επιπλοκών)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β) 4 (ψείρας)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γ) 2 (οστεοπόρωσης)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δ) 3 (υπέρυθρη)</w:t>
      </w:r>
    </w:p>
    <w:p w14:paraId="376F9EED" w14:textId="77777777" w:rsidR="004E07F4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ΘΕΜΑ Β</w:t>
      </w:r>
    </w:p>
    <w:p w14:paraId="4D50F898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Μπορώ να δώσω απαντήσεις, αλλά όχι αυτούσιες από το βιβλίο. Μπορώ όμως να δώσω τις ενδεικτικές απαντήσεις εξετάσεων, πολύ κοντά στο σχολικό εγχειρίδιο.</w:t>
      </w:r>
    </w:p>
    <w:p w14:paraId="365DAAD3" w14:textId="77777777" w:rsidR="004E07F4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ΘΕΜΑ Β</w:t>
      </w:r>
    </w:p>
    <w:p w14:paraId="426F1EB1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Β1α.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Η ύπαρξη αυξημένης συχνότητας εμφάνισης ενός λοιμώδους νοσήματος διαπιστώνεται με τη σύγκριση του αριθμού των κρουσμάτων με τη συνήθη συχνότητα εμφάνισης του νοσήματος στον ίδιο πληθυσμό. Όταν η συχνότητα είναι μεγαλύτερη από την αναμενόμενη, θεωρείται πιθανή η εκδήλωση επιδημίας.</w:t>
      </w:r>
    </w:p>
    <w:p w14:paraId="3BF9556D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lastRenderedPageBreak/>
        <w:t>Β1β.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Κατά την έμμεση μετάδοση ενός μικροοργανισμού παρεμβάλλονται:</w:t>
      </w:r>
    </w:p>
    <w:p w14:paraId="674F0A5E" w14:textId="77777777" w:rsidR="004E07F4" w:rsidRPr="002753BB" w:rsidRDefault="004E07F4" w:rsidP="0027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το νερό, </w:t>
      </w:r>
    </w:p>
    <w:p w14:paraId="5E4D94D5" w14:textId="77777777" w:rsidR="004E07F4" w:rsidRPr="002753BB" w:rsidRDefault="004E07F4" w:rsidP="0027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τα τρόφιμα, </w:t>
      </w:r>
    </w:p>
    <w:p w14:paraId="6153A3AA" w14:textId="77777777" w:rsidR="004E07F4" w:rsidRPr="002753BB" w:rsidRDefault="004E07F4" w:rsidP="0027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διάφορα αντικείμενα. </w:t>
      </w:r>
    </w:p>
    <w:p w14:paraId="60BAAD5D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Β2α.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Η καύση απορριμμάτων προκαλεί ατμοσφαιρική ρύπανση.</w:t>
      </w:r>
    </w:p>
    <w:p w14:paraId="7499A53E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Β2β.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 xml:space="preserve">Η </w:t>
      </w: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λιπασματοποίηση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>:</w:t>
      </w:r>
    </w:p>
    <w:p w14:paraId="45654145" w14:textId="77777777" w:rsidR="004E07F4" w:rsidRPr="002753BB" w:rsidRDefault="004E07F4" w:rsidP="00275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μετατρέπει τα οργανικά απορρίμματα σε λίπασμα, </w:t>
      </w:r>
    </w:p>
    <w:p w14:paraId="5885D6BF" w14:textId="77777777" w:rsidR="004E07F4" w:rsidRPr="002753BB" w:rsidRDefault="004E07F4" w:rsidP="00275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μειώνει τον όγκο των απορριμμάτων. </w:t>
      </w:r>
    </w:p>
    <w:p w14:paraId="218C3FB2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Η ανακύκλωση:</w:t>
      </w:r>
    </w:p>
    <w:p w14:paraId="1C744F21" w14:textId="77777777" w:rsidR="004E07F4" w:rsidRPr="002753BB" w:rsidRDefault="004E07F4" w:rsidP="00275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εξοικονομεί πρώτες ύλες, </w:t>
      </w:r>
    </w:p>
    <w:p w14:paraId="350C790F" w14:textId="77777777" w:rsidR="004E07F4" w:rsidRPr="002753BB" w:rsidRDefault="004E07F4" w:rsidP="00275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εξοικονομεί ενέργεια, </w:t>
      </w:r>
    </w:p>
    <w:p w14:paraId="3A8D06A5" w14:textId="77777777" w:rsidR="004E07F4" w:rsidRPr="002753BB" w:rsidRDefault="004E07F4" w:rsidP="00275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μειώνει τη ρύπανση του περιβάλλοντος, </w:t>
      </w:r>
    </w:p>
    <w:p w14:paraId="4F44CBBF" w14:textId="77777777" w:rsidR="004E07F4" w:rsidRPr="002753BB" w:rsidRDefault="004E07F4" w:rsidP="00275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μειώνει τις ανάγκες τελικής διάθεσης απορριμμάτων. </w:t>
      </w:r>
    </w:p>
    <w:p w14:paraId="1D493621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Β3α.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Δύο εξωτερικές πηγές θορύβου:</w:t>
      </w:r>
    </w:p>
    <w:p w14:paraId="1CAE5E5E" w14:textId="77777777" w:rsidR="004E07F4" w:rsidRPr="002753BB" w:rsidRDefault="004E07F4" w:rsidP="00275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η κυκλοφορία οχημάτων, </w:t>
      </w:r>
    </w:p>
    <w:p w14:paraId="6866EF79" w14:textId="77777777" w:rsidR="004E07F4" w:rsidRPr="002753BB" w:rsidRDefault="004E07F4" w:rsidP="00275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βιομηχανίες ή εργοτάξια. </w:t>
      </w:r>
    </w:p>
    <w:p w14:paraId="4FFDDF0E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Β3β.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Ο θόρυβος προκαλεί:</w:t>
      </w:r>
    </w:p>
    <w:p w14:paraId="5962FDB7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εκνευρισμό, </w:t>
      </w:r>
    </w:p>
    <w:p w14:paraId="45AC4952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ανησυχία, </w:t>
      </w:r>
    </w:p>
    <w:p w14:paraId="7D85A195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άγχος, </w:t>
      </w:r>
    </w:p>
    <w:p w14:paraId="0A94C652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μειωμένη συγκέντρωση, </w:t>
      </w:r>
    </w:p>
    <w:p w14:paraId="0888EE91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διαταραχές ύπνου, </w:t>
      </w:r>
    </w:p>
    <w:p w14:paraId="0834DBB0" w14:textId="77777777" w:rsidR="004E07F4" w:rsidRPr="002753BB" w:rsidRDefault="004E07F4" w:rsidP="00275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ψυχική κόπωση. </w:t>
      </w:r>
    </w:p>
    <w:p w14:paraId="6EDCAC73" w14:textId="77777777" w:rsidR="004E07F4" w:rsidRPr="002753BB" w:rsidRDefault="00000000" w:rsidP="002753BB">
      <w:pPr>
        <w:spacing w:after="0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pict w14:anchorId="503032CD">
          <v:rect id="_x0000_i1025" style="width:0;height:1.5pt" o:hralign="center" o:hrstd="t" o:hr="t" fillcolor="#a0a0a0" stroked="f"/>
        </w:pict>
      </w:r>
    </w:p>
    <w:p w14:paraId="22D0BCDA" w14:textId="77777777" w:rsidR="004E07F4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ΘΕΜΑ Γ</w:t>
      </w:r>
    </w:p>
    <w:p w14:paraId="3CE9C173" w14:textId="1D5A4B09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Γ1α.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 xml:space="preserve">Το καθημερινό βούρτσισμα συμβάλλει στην πρόληψη της τερηδόνας και των νοσημάτων του περιοδοντίου, γιατί απομακρύνει την </w:t>
      </w:r>
      <w:r w:rsidR="007C4AC2" w:rsidRPr="002753BB">
        <w:rPr>
          <w:rStyle w:val="aa"/>
          <w:rFonts w:cstheme="minorHAnsi"/>
          <w:b w:val="0"/>
          <w:bCs w:val="0"/>
        </w:rPr>
        <w:t>οδοντική μικροβιακή πλάκα</w:t>
      </w:r>
      <w:r w:rsidR="007C4AC2" w:rsidRPr="002753BB">
        <w:rPr>
          <w:rFonts w:cstheme="minorHAnsi"/>
        </w:rPr>
        <w:t xml:space="preserve"> από τα δόντια. Τα προληπτικά μέτρα βασίζονται στην «απομάκρυνση της οδοντικής μικροβιακής πλάκας με καθημερινό βούρτσισμα των δοντιών».</w:t>
      </w:r>
    </w:p>
    <w:p w14:paraId="6EAF32D7" w14:textId="6139BF02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lastRenderedPageBreak/>
        <w:t>Γ1β.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>Συνιστάται η αποφυγή ζαχαρούχων τροφών μεταξύ των γευμάτων, γιατί η συχνή κατανάλωσή τους προκαλεί τερηδόνα. Τα μικρόβια της οδοντικής πλάκας ζυμώνουν τη σακχαρόζη και δημιουργούν οξέα που καταστρέφουν τους σκληρούς ιστούς των δοντιών.</w:t>
      </w:r>
    </w:p>
    <w:p w14:paraId="523E48AE" w14:textId="76C0CE3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Γ1γ.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 xml:space="preserve">Σκοπός χορήγησης των φθοριούχων σκευασμάτων είναι η </w:t>
      </w:r>
      <w:r w:rsidR="007C4AC2" w:rsidRPr="002753BB">
        <w:rPr>
          <w:rStyle w:val="aa"/>
          <w:rFonts w:cstheme="minorHAnsi"/>
          <w:b w:val="0"/>
          <w:bCs w:val="0"/>
        </w:rPr>
        <w:t>αύξηση της ανθεκτικότητας των δοντιών</w:t>
      </w:r>
      <w:r w:rsidR="007C4AC2" w:rsidRPr="002753BB">
        <w:rPr>
          <w:rFonts w:cstheme="minorHAnsi"/>
        </w:rPr>
        <w:t xml:space="preserve"> και η πρόληψη της τερηδόνας. Το φθόριο αυξάνει τη σκληρότητα της αδαμαντίνης και προστατεύει το δόντι από </w:t>
      </w:r>
      <w:proofErr w:type="spellStart"/>
      <w:r w:rsidR="007C4AC2" w:rsidRPr="002753BB">
        <w:rPr>
          <w:rFonts w:cstheme="minorHAnsi"/>
        </w:rPr>
        <w:t>τερηδονογόνο</w:t>
      </w:r>
      <w:proofErr w:type="spellEnd"/>
      <w:r w:rsidR="007C4AC2" w:rsidRPr="002753BB">
        <w:rPr>
          <w:rFonts w:cstheme="minorHAnsi"/>
        </w:rPr>
        <w:t xml:space="preserve"> προσβολή.</w:t>
      </w:r>
    </w:p>
    <w:p w14:paraId="3A772EAD" w14:textId="6824A185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Γ2α.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>Η ατμοσφαιρική πίεση δημιουργείται από το βάρος των αερίων στρωμάτων της ατμόσφαιρας που περιβάλλουν τη Γη και ασκούν πίεση πάνω στην επιφάνειά της.</w:t>
      </w:r>
    </w:p>
    <w:p w14:paraId="52E5A3EF" w14:textId="77777777" w:rsidR="007C4AC2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Γ2β.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7C4AC2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 xml:space="preserve">Σε υψόμετρο 4.000 μέτρων η ατμοσφαιρική πίεση είναι περίπου 460 </w:t>
      </w:r>
      <w:proofErr w:type="spellStart"/>
      <w:r w:rsidR="007C4AC2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mmHg</w:t>
      </w:r>
      <w:proofErr w:type="spellEnd"/>
      <w:r w:rsidR="007C4AC2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.</w:t>
      </w:r>
    </w:p>
    <w:p w14:paraId="4ECEDD2B" w14:textId="77777777" w:rsidR="007C4AC2" w:rsidRPr="002753BB" w:rsidRDefault="007C4AC2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Στον άνθρωπο μπορεί να προκληθεί νόσος των αεροπόρων (</w:t>
      </w: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υποξία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>) με συμπτώματα όπως δύσπνοια, κεφαλαλγία, ζάλη και διαταραχές της συνείδησης.</w:t>
      </w:r>
    </w:p>
    <w:p w14:paraId="0946792B" w14:textId="71079030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6FA323AF" w14:textId="6639B575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Γ2γ.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 xml:space="preserve">Το πρόβλημα της νόσου των αεροπόρων στα σύγχρονα αεροπλάνα έχει λυθεί με την </w:t>
      </w:r>
      <w:r w:rsidR="007C4AC2" w:rsidRPr="002753BB">
        <w:rPr>
          <w:rStyle w:val="aa"/>
          <w:rFonts w:cstheme="minorHAnsi"/>
          <w:b w:val="0"/>
          <w:bCs w:val="0"/>
        </w:rPr>
        <w:t>πίεση των θαλάμων επιβατών (καμπίνας)</w:t>
      </w:r>
      <w:r w:rsidR="007C4AC2" w:rsidRPr="002753BB">
        <w:rPr>
          <w:rFonts w:cstheme="minorHAnsi"/>
        </w:rPr>
        <w:t>, ώστε η πίεση στο εσωτερικό να διατηρείται σε φυσιολογικά επίπεδα και να εξασφαλίζεται επαρκής παροχή οξυγόνου.</w:t>
      </w:r>
    </w:p>
    <w:p w14:paraId="609CF233" w14:textId="3A8D9BA1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Γ3α.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 xml:space="preserve">Κατά το χρονικό διάστημα του </w:t>
      </w:r>
      <w:r w:rsidR="007C4AC2" w:rsidRPr="002753BB">
        <w:rPr>
          <w:rStyle w:val="aa"/>
          <w:rFonts w:cstheme="minorHAnsi"/>
          <w:b w:val="0"/>
          <w:bCs w:val="0"/>
        </w:rPr>
        <w:t>«ανοιχτού παραθύρου»</w:t>
      </w:r>
      <w:r w:rsidR="007C4AC2" w:rsidRPr="002753BB">
        <w:rPr>
          <w:rFonts w:cstheme="minorHAnsi"/>
        </w:rPr>
        <w:t>, το άτομο έχει μολυνθεί από τον HIV, αλλά οι εργαστηριακές εξετάσεις δεν μπορούν ακόμη να ανιχνεύσουν τον ιό ή τα αντισώματα στο αίμα.</w:t>
      </w:r>
    </w:p>
    <w:p w14:paraId="000471A9" w14:textId="1AC5A4A9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Γ3β.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7C4AC2" w:rsidRPr="002753BB">
        <w:rPr>
          <w:rFonts w:cstheme="minorHAnsi"/>
        </w:rPr>
        <w:t xml:space="preserve">Το «ανοιχτό παράθυρο» μπορεί να διαρκέσει </w:t>
      </w:r>
      <w:r w:rsidR="007C4AC2" w:rsidRPr="002753BB">
        <w:rPr>
          <w:rStyle w:val="aa"/>
          <w:rFonts w:cstheme="minorHAnsi"/>
          <w:b w:val="0"/>
          <w:bCs w:val="0"/>
        </w:rPr>
        <w:t>από 6 εβδομάδες έως 6 μήνες</w:t>
      </w:r>
      <w:r w:rsidR="007C4AC2" w:rsidRPr="002753BB">
        <w:rPr>
          <w:rFonts w:cstheme="minorHAnsi"/>
        </w:rPr>
        <w:t>.</w:t>
      </w:r>
    </w:p>
    <w:p w14:paraId="107AEF8D" w14:textId="77777777" w:rsidR="007C4AC2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Γ3γ.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7C4AC2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Από την προσβολή των κυττάρων του Κεντρικού Νευρικού Συστήματος ο HIV μπορεί να προκαλέσει:</w:t>
      </w:r>
    </w:p>
    <w:p w14:paraId="57449C75" w14:textId="77777777" w:rsidR="007C4AC2" w:rsidRPr="002753BB" w:rsidRDefault="007C4AC2" w:rsidP="002753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διαταραχές μνήμης, </w:t>
      </w:r>
    </w:p>
    <w:p w14:paraId="7E332318" w14:textId="77777777" w:rsidR="007C4AC2" w:rsidRPr="002753BB" w:rsidRDefault="007C4AC2" w:rsidP="002753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διαταραχές συμπεριφοράς, </w:t>
      </w:r>
    </w:p>
    <w:p w14:paraId="0AD653D2" w14:textId="77777777" w:rsidR="007C4AC2" w:rsidRPr="002753BB" w:rsidRDefault="007C4AC2" w:rsidP="002753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άνοια.</w:t>
      </w:r>
    </w:p>
    <w:p w14:paraId="4E3D9C71" w14:textId="5B5A5BC1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2CA76F46" w14:textId="77777777" w:rsidR="004E07F4" w:rsidRPr="002753BB" w:rsidRDefault="00000000" w:rsidP="002753BB">
      <w:pPr>
        <w:spacing w:after="0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lastRenderedPageBreak/>
        <w:pict w14:anchorId="6419D017">
          <v:rect id="_x0000_i1026" style="width:0;height:1.5pt" o:hralign="center" o:hrstd="t" o:hr="t" fillcolor="#a0a0a0" stroked="f"/>
        </w:pict>
      </w:r>
    </w:p>
    <w:p w14:paraId="6FEFD168" w14:textId="7A1DA4A0" w:rsidR="00084F36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ΘΕΜΑ Δ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084F36" w:rsidRPr="002753BB">
        <w:rPr>
          <w:rFonts w:eastAsia="Times New Roman" w:cstheme="minorHAnsi"/>
          <w:kern w:val="0"/>
          <w:lang w:eastAsia="el-GR"/>
          <w14:ligatures w14:val="none"/>
        </w:rPr>
        <w:t>Δ1</w:t>
      </w:r>
    </w:p>
    <w:p w14:paraId="5E416B3B" w14:textId="77777777" w:rsidR="00084F36" w:rsidRPr="002753BB" w:rsidRDefault="00084F36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α)</w:t>
      </w:r>
    </w:p>
    <w:p w14:paraId="0EBB985E" w14:textId="66DF635A" w:rsidR="00084F36" w:rsidRPr="002753BB" w:rsidRDefault="00084F36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Χημική εξέταση του νερού: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>Με τη χημική εξέταση διαπιστώνεται η χημική σύσταση του νερού και αν περιέχει χημικές ουσίες που το καθιστούν ακατάλληλο για πόση.</w:t>
      </w:r>
      <w:r w:rsidR="00084EE6" w:rsidRPr="002753BB">
        <w:rPr>
          <w:rFonts w:cstheme="minorHAnsi"/>
        </w:rPr>
        <w:t xml:space="preserve"> </w:t>
      </w:r>
      <w:r w:rsidR="00084EE6" w:rsidRPr="002753BB">
        <w:rPr>
          <w:rFonts w:cstheme="minorHAnsi"/>
        </w:rPr>
        <w:t>Η παρουσία κολοβακτηριδίων στο νερό υποδηλώνει κοπρανώδη μόλυνση και πιθανή παρουσία παθογόνων μικροοργανισμών</w:t>
      </w:r>
    </w:p>
    <w:p w14:paraId="6216A217" w14:textId="4DD11122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195524D9" w14:textId="09BD3A70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Δ1β.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084EE6" w:rsidRPr="002753BB">
        <w:rPr>
          <w:rFonts w:cstheme="minorHAnsi"/>
        </w:rPr>
        <w:t xml:space="preserve">Η μικροβιολογική εξέταση είναι απαραίτητη γιατί η χημική εξέταση δεν ανιχνεύει τους μικροοργανισμούς. Με τη μικροβιολογική εξέταση διαπιστώνεται η παρουσία παθογόνων μικροοργανισμών, όπως οι </w:t>
      </w:r>
      <w:proofErr w:type="spellStart"/>
      <w:r w:rsidR="00084EE6" w:rsidRPr="002753BB">
        <w:rPr>
          <w:rFonts w:cstheme="minorHAnsi"/>
        </w:rPr>
        <w:t>σαλμονέλλες</w:t>
      </w:r>
      <w:proofErr w:type="spellEnd"/>
      <w:r w:rsidR="00084EE6" w:rsidRPr="002753BB">
        <w:rPr>
          <w:rFonts w:cstheme="minorHAnsi"/>
        </w:rPr>
        <w:t xml:space="preserve"> και οι </w:t>
      </w:r>
      <w:proofErr w:type="spellStart"/>
      <w:r w:rsidR="00084EE6" w:rsidRPr="002753BB">
        <w:rPr>
          <w:rFonts w:cstheme="minorHAnsi"/>
        </w:rPr>
        <w:t>λάμβλιες</w:t>
      </w:r>
      <w:proofErr w:type="spellEnd"/>
      <w:r w:rsidR="00084EE6" w:rsidRPr="002753BB">
        <w:rPr>
          <w:rFonts w:cstheme="minorHAnsi"/>
        </w:rPr>
        <w:t>.</w:t>
      </w:r>
    </w:p>
    <w:p w14:paraId="72736029" w14:textId="777777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Δ1γ.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  <w:t xml:space="preserve">Πηγές μόλυνσης από </w:t>
      </w: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σαλμονέλλα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>:</w:t>
      </w:r>
    </w:p>
    <w:p w14:paraId="4F3D0219" w14:textId="77777777" w:rsidR="004E07F4" w:rsidRPr="002753BB" w:rsidRDefault="004E07F4" w:rsidP="002753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αυγά, </w:t>
      </w:r>
    </w:p>
    <w:p w14:paraId="72866700" w14:textId="77777777" w:rsidR="004E07F4" w:rsidRPr="002753BB" w:rsidRDefault="004E07F4" w:rsidP="002753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κρέας πουλερικών. </w:t>
      </w:r>
    </w:p>
    <w:p w14:paraId="642779CD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Δ2α.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Τρία μέτρα που εφάρμοζαν οι αρχαίοι λαοί για τον έλεγχο των λοιμωδών νοσημάτων:</w:t>
      </w:r>
    </w:p>
    <w:p w14:paraId="597895C6" w14:textId="77777777" w:rsidR="00084EE6" w:rsidRPr="002753BB" w:rsidRDefault="00084EE6" w:rsidP="002753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Απομόνωση των ασθενών. </w:t>
      </w:r>
    </w:p>
    <w:p w14:paraId="0216A0C7" w14:textId="77777777" w:rsidR="00084EE6" w:rsidRPr="002753BB" w:rsidRDefault="00084EE6" w:rsidP="002753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Καραντίνα. </w:t>
      </w:r>
    </w:p>
    <w:p w14:paraId="3922AF96" w14:textId="77777777" w:rsidR="00084EE6" w:rsidRPr="002753BB" w:rsidRDefault="00084EE6" w:rsidP="002753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Καταστροφή ή απομάκρυνση μολυσμένων αντικειμένων. </w:t>
      </w:r>
    </w:p>
    <w:p w14:paraId="6BC9400A" w14:textId="02B6D74E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72A44B1F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Δ2β.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Τρία αποτελέσματα της προόδου της επιστήμης που συμβάλλουν σήμερα στην πρόληψη των λοιμωδών νοσημάτων:</w:t>
      </w:r>
    </w:p>
    <w:p w14:paraId="23E2D5A1" w14:textId="77777777" w:rsidR="00084EE6" w:rsidRPr="002753BB" w:rsidRDefault="00084EE6" w:rsidP="002753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Ανακάλυψη των μικροβίων. </w:t>
      </w:r>
    </w:p>
    <w:p w14:paraId="502A5495" w14:textId="77777777" w:rsidR="00084EE6" w:rsidRPr="002753BB" w:rsidRDefault="00084EE6" w:rsidP="002753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Παρασκευή εμβολίων. </w:t>
      </w:r>
    </w:p>
    <w:p w14:paraId="02FBC2D5" w14:textId="77777777" w:rsidR="00084EE6" w:rsidRPr="002753BB" w:rsidRDefault="00084EE6" w:rsidP="002753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Ανακάλυψη και χρήση αντιβιοτικών.</w:t>
      </w:r>
    </w:p>
    <w:p w14:paraId="29F21CFA" w14:textId="0F6E0BAC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51F1903D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lastRenderedPageBreak/>
        <w:t>Δ2γ.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Ο απώτερος σκοπός των σύγχρονων μέτρων Δημόσιας Υγιεινής είναι:</w:t>
      </w:r>
    </w:p>
    <w:p w14:paraId="3B375199" w14:textId="77777777" w:rsidR="00084EE6" w:rsidRPr="002753BB" w:rsidRDefault="00084EE6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Η εξάλειψη των λοιμωδών νοσημάτων και η προαγωγή της υγείας του πληθυσμού.</w:t>
      </w:r>
    </w:p>
    <w:p w14:paraId="484E5B2B" w14:textId="54422177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010C4AE1" w14:textId="6139413D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Δ2δ.</w:t>
      </w:r>
      <w:r w:rsidRPr="002753BB">
        <w:rPr>
          <w:rFonts w:eastAsia="Times New Roman" w:cstheme="minorHAnsi"/>
          <w:kern w:val="0"/>
          <w:lang w:eastAsia="el-GR"/>
          <w14:ligatures w14:val="none"/>
        </w:rPr>
        <w:br/>
      </w:r>
      <w:r w:rsidR="00084EE6" w:rsidRPr="002753BB">
        <w:rPr>
          <w:rFonts w:cstheme="minorHAnsi"/>
        </w:rPr>
        <w:t>Όσο μεγαλύτερος είναι ο αριθμός των ατόμων που δεν έχουν ανοσία σε ένα νόσημα, τόσο ευκολότερα εξαπλώνεται η επιδημία. Αντίθετα, όταν πολλά άτομα έχουν ανοσία, η εξάπλωση περιορίζεται.</w:t>
      </w:r>
    </w:p>
    <w:p w14:paraId="1FCDB131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Δ3α.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Δύο είδη βλαπτικών παραγόντων που επηρεάζουν την υγεία του προσωπικού νοσοκομείου είναι:</w:t>
      </w:r>
    </w:p>
    <w:p w14:paraId="31135F65" w14:textId="77777777" w:rsidR="00084EE6" w:rsidRPr="002753BB" w:rsidRDefault="00084EE6" w:rsidP="002753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Βιολογικοί παράγοντες – π.χ. μικρόβια, ιοί. </w:t>
      </w:r>
    </w:p>
    <w:p w14:paraId="4F3F812E" w14:textId="77777777" w:rsidR="00084EE6" w:rsidRPr="002753BB" w:rsidRDefault="00084EE6" w:rsidP="002753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Φυσικοί παράγοντες – π.χ. ακτινοβολία.</w:t>
      </w:r>
    </w:p>
    <w:p w14:paraId="6B581131" w14:textId="524B933B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759B0148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Δ3β.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Τεχνητές πηγές ακτινοβολίας:</w:t>
      </w:r>
    </w:p>
    <w:p w14:paraId="568D2FC0" w14:textId="77777777" w:rsidR="00084EE6" w:rsidRPr="002753BB" w:rsidRDefault="00084EE6" w:rsidP="002753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Ακτινοδιαγνωστικές συσκευές (ακτίνες Χ). </w:t>
      </w:r>
    </w:p>
    <w:p w14:paraId="016DB7B0" w14:textId="77777777" w:rsidR="00084EE6" w:rsidRPr="002753BB" w:rsidRDefault="00084EE6" w:rsidP="002753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Ακτινοθεραπευτικές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 συσκευές. </w:t>
      </w:r>
    </w:p>
    <w:p w14:paraId="692C93BB" w14:textId="77777777" w:rsidR="00084EE6" w:rsidRPr="002753BB" w:rsidRDefault="00084EE6" w:rsidP="002753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>Ραδιενεργά ισότοπα.</w:t>
      </w:r>
    </w:p>
    <w:p w14:paraId="4BD4F4A1" w14:textId="6E2C60FF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32D469AE" w14:textId="77777777" w:rsidR="00084EE6" w:rsidRPr="002753BB" w:rsidRDefault="004E07F4" w:rsidP="002753BB">
      <w:pPr>
        <w:pStyle w:val="Web"/>
        <w:rPr>
          <w:rFonts w:asciiTheme="minorHAnsi" w:eastAsia="Times New Roman" w:hAnsiTheme="minorHAnsi" w:cstheme="minorHAnsi"/>
          <w:kern w:val="0"/>
          <w:lang w:eastAsia="el-GR"/>
          <w14:ligatures w14:val="none"/>
        </w:rPr>
      </w:pP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Δ3γ.</w:t>
      </w:r>
      <w:r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br/>
      </w:r>
      <w:r w:rsidR="00084EE6" w:rsidRPr="002753BB">
        <w:rPr>
          <w:rFonts w:asciiTheme="minorHAnsi" w:eastAsia="Times New Roman" w:hAnsiTheme="minorHAnsi" w:cstheme="minorHAnsi"/>
          <w:kern w:val="0"/>
          <w:lang w:eastAsia="el-GR"/>
          <w14:ligatures w14:val="none"/>
        </w:rPr>
        <w:t>Ένα μέτρο προφύλαξης από την ακτινοβολία είναι:</w:t>
      </w:r>
    </w:p>
    <w:p w14:paraId="19E6F5A8" w14:textId="77777777" w:rsidR="00084EE6" w:rsidRPr="002753BB" w:rsidRDefault="00084EE6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Η χρήση μολύβδινων προστατευτικών μέσων (ποδιάς ή παραπετάσματος </w:t>
      </w:r>
      <w:proofErr w:type="spellStart"/>
      <w:r w:rsidRPr="002753BB">
        <w:rPr>
          <w:rFonts w:eastAsia="Times New Roman" w:cstheme="minorHAnsi"/>
          <w:kern w:val="0"/>
          <w:lang w:eastAsia="el-GR"/>
          <w14:ligatures w14:val="none"/>
        </w:rPr>
        <w:t>μολύβδου</w:t>
      </w:r>
      <w:proofErr w:type="spellEnd"/>
      <w:r w:rsidRPr="002753BB">
        <w:rPr>
          <w:rFonts w:eastAsia="Times New Roman" w:cstheme="minorHAnsi"/>
          <w:kern w:val="0"/>
          <w:lang w:eastAsia="el-GR"/>
          <w14:ligatures w14:val="none"/>
        </w:rPr>
        <w:t xml:space="preserve">). </w:t>
      </w:r>
    </w:p>
    <w:p w14:paraId="43B9A6F2" w14:textId="4C6ADF69" w:rsidR="004E07F4" w:rsidRPr="002753BB" w:rsidRDefault="004E07F4" w:rsidP="002753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02A55A07" w14:textId="77777777" w:rsidR="004E07F4" w:rsidRPr="002753BB" w:rsidRDefault="004E07F4" w:rsidP="002753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el-GR"/>
          <w14:ligatures w14:val="none"/>
        </w:rPr>
      </w:pPr>
    </w:p>
    <w:sectPr w:rsidR="004E07F4" w:rsidRPr="002753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17C"/>
    <w:multiLevelType w:val="multilevel"/>
    <w:tmpl w:val="F8DA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37079"/>
    <w:multiLevelType w:val="multilevel"/>
    <w:tmpl w:val="3C7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812A7"/>
    <w:multiLevelType w:val="multilevel"/>
    <w:tmpl w:val="74F2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F5968"/>
    <w:multiLevelType w:val="multilevel"/>
    <w:tmpl w:val="581A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14AC8"/>
    <w:multiLevelType w:val="multilevel"/>
    <w:tmpl w:val="4C2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F55A0"/>
    <w:multiLevelType w:val="multilevel"/>
    <w:tmpl w:val="606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24A11"/>
    <w:multiLevelType w:val="multilevel"/>
    <w:tmpl w:val="73DC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D26D4"/>
    <w:multiLevelType w:val="multilevel"/>
    <w:tmpl w:val="78A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21CDD"/>
    <w:multiLevelType w:val="multilevel"/>
    <w:tmpl w:val="20D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C1AAC"/>
    <w:multiLevelType w:val="multilevel"/>
    <w:tmpl w:val="BB86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C391C"/>
    <w:multiLevelType w:val="multilevel"/>
    <w:tmpl w:val="346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D14A3"/>
    <w:multiLevelType w:val="multilevel"/>
    <w:tmpl w:val="E65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3009A"/>
    <w:multiLevelType w:val="multilevel"/>
    <w:tmpl w:val="9B2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F7FFB"/>
    <w:multiLevelType w:val="multilevel"/>
    <w:tmpl w:val="1BD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F7EC1"/>
    <w:multiLevelType w:val="multilevel"/>
    <w:tmpl w:val="32C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4491"/>
    <w:multiLevelType w:val="hybridMultilevel"/>
    <w:tmpl w:val="44084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579F"/>
    <w:multiLevelType w:val="multilevel"/>
    <w:tmpl w:val="61A2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06995">
    <w:abstractNumId w:val="15"/>
  </w:num>
  <w:num w:numId="2" w16cid:durableId="38018178">
    <w:abstractNumId w:val="14"/>
  </w:num>
  <w:num w:numId="3" w16cid:durableId="548883176">
    <w:abstractNumId w:val="11"/>
  </w:num>
  <w:num w:numId="4" w16cid:durableId="909654451">
    <w:abstractNumId w:val="13"/>
  </w:num>
  <w:num w:numId="5" w16cid:durableId="422071598">
    <w:abstractNumId w:val="9"/>
  </w:num>
  <w:num w:numId="6" w16cid:durableId="329332283">
    <w:abstractNumId w:val="5"/>
  </w:num>
  <w:num w:numId="7" w16cid:durableId="77488266">
    <w:abstractNumId w:val="6"/>
  </w:num>
  <w:num w:numId="8" w16cid:durableId="2060274899">
    <w:abstractNumId w:val="7"/>
  </w:num>
  <w:num w:numId="9" w16cid:durableId="1392146736">
    <w:abstractNumId w:val="1"/>
  </w:num>
  <w:num w:numId="10" w16cid:durableId="316693044">
    <w:abstractNumId w:val="3"/>
  </w:num>
  <w:num w:numId="11" w16cid:durableId="627277437">
    <w:abstractNumId w:val="8"/>
  </w:num>
  <w:num w:numId="12" w16cid:durableId="1464808572">
    <w:abstractNumId w:val="12"/>
  </w:num>
  <w:num w:numId="13" w16cid:durableId="365258471">
    <w:abstractNumId w:val="2"/>
  </w:num>
  <w:num w:numId="14" w16cid:durableId="701512983">
    <w:abstractNumId w:val="0"/>
  </w:num>
  <w:num w:numId="15" w16cid:durableId="2057312584">
    <w:abstractNumId w:val="16"/>
  </w:num>
  <w:num w:numId="16" w16cid:durableId="1889796525">
    <w:abstractNumId w:val="4"/>
  </w:num>
  <w:num w:numId="17" w16cid:durableId="375200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73"/>
    <w:rsid w:val="00084EE6"/>
    <w:rsid w:val="00084F36"/>
    <w:rsid w:val="002753BB"/>
    <w:rsid w:val="004E07F4"/>
    <w:rsid w:val="004F4330"/>
    <w:rsid w:val="005B3D73"/>
    <w:rsid w:val="00630EAD"/>
    <w:rsid w:val="007B0880"/>
    <w:rsid w:val="007C4AC2"/>
    <w:rsid w:val="008234F6"/>
    <w:rsid w:val="008B14B6"/>
    <w:rsid w:val="009101F6"/>
    <w:rsid w:val="00B17136"/>
    <w:rsid w:val="00D81059"/>
    <w:rsid w:val="00E11C27"/>
    <w:rsid w:val="00E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D5CE"/>
  <w15:chartTrackingRefBased/>
  <w15:docId w15:val="{51176AF6-5DDE-4BA6-A754-EF63108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30"/>
  </w:style>
  <w:style w:type="paragraph" w:styleId="1">
    <w:name w:val="heading 1"/>
    <w:basedOn w:val="a"/>
    <w:next w:val="a"/>
    <w:link w:val="1Char"/>
    <w:uiPriority w:val="9"/>
    <w:qFormat/>
    <w:rsid w:val="005B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3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3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3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3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3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3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3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3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3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3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3D7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3D7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3D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3D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3D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3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3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3D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3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3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3D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3D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3D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3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3D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3D7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84EE6"/>
    <w:rPr>
      <w:rFonts w:ascii="Times New Roman" w:hAnsi="Times New Roman" w:cs="Times New Roman"/>
    </w:rPr>
  </w:style>
  <w:style w:type="character" w:styleId="aa">
    <w:name w:val="Strong"/>
    <w:basedOn w:val="a0"/>
    <w:uiPriority w:val="22"/>
    <w:qFormat/>
    <w:rsid w:val="007C4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747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aganta</dc:creator>
  <cp:keywords/>
  <dc:description/>
  <cp:lastModifiedBy>maria aganta</cp:lastModifiedBy>
  <cp:revision>8</cp:revision>
  <dcterms:created xsi:type="dcterms:W3CDTF">2026-06-09T06:48:00Z</dcterms:created>
  <dcterms:modified xsi:type="dcterms:W3CDTF">2026-06-09T07:38:00Z</dcterms:modified>
</cp:coreProperties>
</file>