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1012" w14:textId="77777777" w:rsidR="00B40B62" w:rsidRPr="00635089" w:rsidRDefault="00B40B62" w:rsidP="0080532B">
      <w:pPr>
        <w:tabs>
          <w:tab w:val="left" w:pos="9214"/>
        </w:tabs>
        <w:ind w:left="142" w:right="872"/>
        <w:rPr>
          <w:rFonts w:ascii="Ping LCG Regular" w:hAnsi="Ping LCG Regular"/>
          <w:color w:val="000000"/>
          <w:sz w:val="28"/>
          <w:szCs w:val="28"/>
        </w:rPr>
      </w:pPr>
    </w:p>
    <w:p w14:paraId="1D786E03" w14:textId="77777777" w:rsidR="004E2199" w:rsidRPr="00635089" w:rsidRDefault="004E2199" w:rsidP="00F065EA">
      <w:pPr>
        <w:jc w:val="right"/>
        <w:rPr>
          <w:rFonts w:ascii="Ping LCG Regular" w:hAnsi="Ping LCG Regular"/>
          <w:color w:val="000000"/>
          <w:sz w:val="40"/>
          <w:szCs w:val="40"/>
          <w:lang w:val="el-GR"/>
        </w:rPr>
      </w:pPr>
    </w:p>
    <w:p w14:paraId="5F350363" w14:textId="2240C47D" w:rsidR="00635089" w:rsidRPr="00635089" w:rsidRDefault="00635089" w:rsidP="00635089">
      <w:pPr>
        <w:tabs>
          <w:tab w:val="right" w:pos="8646"/>
        </w:tabs>
        <w:jc w:val="center"/>
        <w:rPr>
          <w:rFonts w:ascii="Ping LCG Regular" w:hAnsi="Ping LCG Regular"/>
          <w:b/>
          <w:bCs/>
          <w:color w:val="000000"/>
          <w:lang w:val="el-GR"/>
        </w:rPr>
      </w:pPr>
      <w:r w:rsidRPr="00635089">
        <w:rPr>
          <w:rFonts w:ascii="Ping LCG Regular" w:hAnsi="Ping LCG Regular"/>
          <w:b/>
          <w:bCs/>
          <w:color w:val="000000"/>
          <w:lang w:val="el-GR"/>
        </w:rPr>
        <w:t>ΑΠΑΓΟΡΕΥΕΤΑΙ Η ΔΙΑΘΕΣΗ, ΔΗΜΟΣΙΕΥΣΗ Ή ΔΙΑΝΟΜΗ, ΑΜΕΣΑ Ή ΕΜΜΕΣΑ, ΣΤΙΣ ΗΝΩΜΕΝΕΣ ΠΟΛΙΤΕΙΕΣ, ΤΗΝ ΑΥΣΤΡΑΛΙΑ, ΤΟΝ ΚΑΝΑΔΑ Ή ΤΗΝ ΙΑΠΩΝΙΑ</w:t>
      </w:r>
    </w:p>
    <w:p w14:paraId="0FCFDFD5" w14:textId="77777777" w:rsidR="00635089" w:rsidRPr="00635089" w:rsidRDefault="00635089" w:rsidP="00635089">
      <w:pPr>
        <w:tabs>
          <w:tab w:val="right" w:pos="8646"/>
        </w:tabs>
        <w:rPr>
          <w:rFonts w:ascii="Ping LCG Regular" w:hAnsi="Ping LCG Regular"/>
          <w:color w:val="000000"/>
          <w:lang w:val="el-GR"/>
        </w:rPr>
      </w:pPr>
    </w:p>
    <w:p w14:paraId="34CAB350" w14:textId="77777777" w:rsidR="00635089" w:rsidRPr="00635089" w:rsidRDefault="00635089" w:rsidP="00635089">
      <w:pPr>
        <w:tabs>
          <w:tab w:val="right" w:pos="8646"/>
        </w:tabs>
        <w:rPr>
          <w:rFonts w:ascii="Ping LCG Regular" w:hAnsi="Ping LCG Regular"/>
          <w:b/>
          <w:bCs/>
          <w:color w:val="000000"/>
          <w:lang w:val="el-GR"/>
        </w:rPr>
      </w:pPr>
      <w:r w:rsidRPr="00635089">
        <w:rPr>
          <w:rFonts w:ascii="Ping LCG Regular" w:hAnsi="Ping LCG Regular"/>
          <w:b/>
          <w:bCs/>
          <w:color w:val="000000"/>
          <w:lang w:val="el-GR"/>
        </w:rPr>
        <w:t xml:space="preserve">ΓΙΑ ΑΜΕΣΗ ΔΗΜΟΣΙΕΥΣΗ </w:t>
      </w:r>
    </w:p>
    <w:p w14:paraId="1694B56D" w14:textId="77777777" w:rsidR="00635089" w:rsidRPr="00B41864" w:rsidRDefault="00635089" w:rsidP="00635089">
      <w:pPr>
        <w:tabs>
          <w:tab w:val="right" w:pos="8646"/>
        </w:tabs>
        <w:rPr>
          <w:rFonts w:ascii="Ping LCG Regular" w:hAnsi="Ping LCG Regular"/>
          <w:color w:val="000000"/>
          <w:lang w:val="el-GR"/>
        </w:rPr>
      </w:pPr>
    </w:p>
    <w:p w14:paraId="5F4DE219" w14:textId="0B98F754" w:rsidR="00635089" w:rsidRPr="00657206" w:rsidRDefault="005E76A1" w:rsidP="00635089">
      <w:pPr>
        <w:tabs>
          <w:tab w:val="right" w:pos="8646"/>
        </w:tabs>
        <w:rPr>
          <w:rFonts w:ascii="Ping LCG Regular" w:hAnsi="Ping LCG Regular"/>
          <w:b/>
          <w:bCs/>
          <w:color w:val="000000"/>
          <w:lang w:val="el-GR"/>
        </w:rPr>
      </w:pPr>
      <w:r w:rsidRPr="00657206">
        <w:rPr>
          <w:rFonts w:ascii="Ping LCG Regular" w:hAnsi="Ping LCG Regular"/>
          <w:b/>
          <w:bCs/>
          <w:color w:val="000000"/>
          <w:lang w:val="el-GR"/>
        </w:rPr>
        <w:t xml:space="preserve">14 </w:t>
      </w:r>
      <w:r w:rsidR="00635089" w:rsidRPr="005E76A1">
        <w:rPr>
          <w:rFonts w:ascii="Ping LCG Regular" w:hAnsi="Ping LCG Regular"/>
          <w:b/>
          <w:bCs/>
          <w:color w:val="000000"/>
          <w:lang w:val="el-GR"/>
        </w:rPr>
        <w:t>Οκτωβρίου 202</w:t>
      </w:r>
      <w:r w:rsidRPr="00657206">
        <w:rPr>
          <w:rFonts w:ascii="Ping LCG Regular" w:hAnsi="Ping LCG Regular"/>
          <w:b/>
          <w:bCs/>
          <w:color w:val="000000"/>
          <w:lang w:val="el-GR"/>
        </w:rPr>
        <w:t>5</w:t>
      </w:r>
    </w:p>
    <w:p w14:paraId="5496FE17" w14:textId="77777777" w:rsidR="00635089" w:rsidRPr="00B41864" w:rsidRDefault="00635089" w:rsidP="00635089">
      <w:pPr>
        <w:tabs>
          <w:tab w:val="right" w:pos="8646"/>
        </w:tabs>
        <w:rPr>
          <w:rFonts w:ascii="Ping LCG Regular" w:hAnsi="Ping LCG Regular"/>
          <w:color w:val="000000"/>
          <w:lang w:val="el-GR"/>
        </w:rPr>
      </w:pPr>
    </w:p>
    <w:p w14:paraId="49E7B159" w14:textId="6200D277" w:rsidR="00635089" w:rsidRPr="006E4F23" w:rsidRDefault="00635089" w:rsidP="006E4F23">
      <w:pPr>
        <w:tabs>
          <w:tab w:val="right" w:pos="8646"/>
        </w:tabs>
        <w:jc w:val="center"/>
        <w:rPr>
          <w:rFonts w:ascii="Ping LCG Regular" w:hAnsi="Ping LCG Regular"/>
          <w:b/>
          <w:bCs/>
          <w:color w:val="000000"/>
          <w:lang w:val="el-GR"/>
        </w:rPr>
      </w:pPr>
      <w:r w:rsidRPr="006E4F23">
        <w:rPr>
          <w:rFonts w:ascii="Ping LCG Regular" w:hAnsi="Ping LCG Regular"/>
          <w:b/>
          <w:bCs/>
          <w:color w:val="000000"/>
          <w:lang w:val="el-GR"/>
        </w:rPr>
        <w:t>ΔΗΜΟΣΙΑ ΕΠΙΧΕΙΡΗΣΗ ΗΛΕΚΤΡΙΣΜΟΥ Α.Ε.</w:t>
      </w:r>
    </w:p>
    <w:p w14:paraId="1D882927" w14:textId="77777777" w:rsidR="006E4F23" w:rsidRPr="00B41864" w:rsidRDefault="006E4F23" w:rsidP="006E4F23">
      <w:pPr>
        <w:tabs>
          <w:tab w:val="right" w:pos="8646"/>
        </w:tabs>
        <w:jc w:val="center"/>
        <w:rPr>
          <w:rFonts w:ascii="Ping LCG Regular" w:hAnsi="Ping LCG Regular"/>
          <w:b/>
          <w:bCs/>
          <w:color w:val="000000"/>
          <w:lang w:val="el-GR"/>
        </w:rPr>
      </w:pPr>
    </w:p>
    <w:p w14:paraId="588B7C1F" w14:textId="0F7ACB2E" w:rsidR="00635089" w:rsidRPr="005E76A1" w:rsidRDefault="00635089" w:rsidP="006E4F23">
      <w:pPr>
        <w:tabs>
          <w:tab w:val="right" w:pos="8646"/>
        </w:tabs>
        <w:jc w:val="center"/>
        <w:rPr>
          <w:rFonts w:ascii="Ping LCG Regular" w:hAnsi="Ping LCG Regular"/>
          <w:b/>
          <w:bCs/>
          <w:color w:val="000000"/>
          <w:lang w:val="el-GR"/>
        </w:rPr>
      </w:pPr>
      <w:r w:rsidRPr="006E4F23">
        <w:rPr>
          <w:rFonts w:ascii="Ping LCG Regular" w:hAnsi="Ping LCG Regular"/>
          <w:b/>
          <w:bCs/>
          <w:color w:val="000000"/>
          <w:lang w:val="el-GR"/>
        </w:rPr>
        <w:t xml:space="preserve">Προτεινόμενη προσφορά </w:t>
      </w:r>
      <w:r w:rsidR="00694054">
        <w:rPr>
          <w:rFonts w:ascii="Ping LCG Regular" w:hAnsi="Ping LCG Regular"/>
          <w:b/>
          <w:bCs/>
          <w:color w:val="000000"/>
          <w:lang w:val="el-GR"/>
        </w:rPr>
        <w:t xml:space="preserve">πράσινης έκδοσης </w:t>
      </w:r>
      <w:r w:rsidRPr="006E4F23">
        <w:rPr>
          <w:rFonts w:ascii="Ping LCG Regular" w:hAnsi="Ping LCG Regular"/>
          <w:b/>
          <w:bCs/>
          <w:color w:val="000000"/>
          <w:lang w:val="el-GR"/>
        </w:rPr>
        <w:t>€</w:t>
      </w:r>
      <w:r w:rsidR="00F17332" w:rsidRPr="00F17332">
        <w:rPr>
          <w:rFonts w:ascii="Ping LCG Regular" w:hAnsi="Ping LCG Regular"/>
          <w:b/>
          <w:bCs/>
          <w:color w:val="000000"/>
          <w:lang w:val="el-GR"/>
        </w:rPr>
        <w:t>775</w:t>
      </w:r>
      <w:r w:rsidR="00F17332" w:rsidRPr="005E76A1">
        <w:rPr>
          <w:rFonts w:ascii="Ping LCG Regular" w:hAnsi="Ping LCG Regular"/>
          <w:b/>
          <w:bCs/>
          <w:color w:val="000000"/>
          <w:lang w:val="el-GR"/>
        </w:rPr>
        <w:t xml:space="preserve"> </w:t>
      </w:r>
      <w:r w:rsidRPr="006E4F23">
        <w:rPr>
          <w:rFonts w:ascii="Ping LCG Regular" w:hAnsi="Ping LCG Regular"/>
          <w:b/>
          <w:bCs/>
          <w:color w:val="000000"/>
          <w:lang w:val="el-GR"/>
        </w:rPr>
        <w:t xml:space="preserve">εκατομμυρίων Ομολογιών </w:t>
      </w:r>
      <w:r w:rsidR="005E76A1">
        <w:rPr>
          <w:rFonts w:ascii="Ping LCG Regular" w:hAnsi="Ping LCG Regular"/>
          <w:b/>
          <w:bCs/>
          <w:color w:val="000000"/>
          <w:lang w:val="el-GR"/>
        </w:rPr>
        <w:t>πρώτης τάξης</w:t>
      </w:r>
      <w:r w:rsidR="003561B5" w:rsidRPr="003561B5">
        <w:rPr>
          <w:rFonts w:ascii="Ping LCG Regular" w:hAnsi="Ping LCG Regular"/>
          <w:b/>
          <w:bCs/>
          <w:color w:val="000000"/>
          <w:lang w:val="el-GR"/>
        </w:rPr>
        <w:t xml:space="preserve"> </w:t>
      </w:r>
      <w:r w:rsidRPr="006E4F23">
        <w:rPr>
          <w:rFonts w:ascii="Ping LCG Regular" w:hAnsi="Ping LCG Regular"/>
          <w:b/>
          <w:bCs/>
          <w:color w:val="000000"/>
          <w:lang w:val="el-GR"/>
        </w:rPr>
        <w:t xml:space="preserve">με λήξη το </w:t>
      </w:r>
      <w:r w:rsidR="005E76A1" w:rsidRPr="005E76A1">
        <w:rPr>
          <w:rFonts w:ascii="Ping LCG Regular" w:hAnsi="Ping LCG Regular"/>
          <w:b/>
          <w:bCs/>
          <w:color w:val="000000"/>
          <w:lang w:val="el-GR"/>
        </w:rPr>
        <w:t>20</w:t>
      </w:r>
      <w:r w:rsidR="00F17332">
        <w:rPr>
          <w:rFonts w:ascii="Ping LCG Regular" w:hAnsi="Ping LCG Regular"/>
          <w:b/>
          <w:bCs/>
          <w:color w:val="000000"/>
          <w:lang w:val="el-GR"/>
        </w:rPr>
        <w:t>30</w:t>
      </w:r>
      <w:r w:rsidR="005E76A1" w:rsidRPr="005E76A1">
        <w:rPr>
          <w:rFonts w:ascii="Ping LCG Regular" w:hAnsi="Ping LCG Regular"/>
          <w:b/>
          <w:bCs/>
          <w:color w:val="000000"/>
          <w:lang w:val="el-GR"/>
        </w:rPr>
        <w:t xml:space="preserve"> </w:t>
      </w:r>
    </w:p>
    <w:p w14:paraId="08E4D84B" w14:textId="77777777" w:rsidR="006E4F23" w:rsidRPr="00B41864" w:rsidRDefault="006E4F23" w:rsidP="00635089">
      <w:pPr>
        <w:tabs>
          <w:tab w:val="right" w:pos="8646"/>
        </w:tabs>
        <w:rPr>
          <w:rFonts w:ascii="Ping LCG Regular" w:hAnsi="Ping LCG Regular"/>
          <w:color w:val="000000"/>
          <w:lang w:val="el-GR"/>
        </w:rPr>
      </w:pPr>
    </w:p>
    <w:p w14:paraId="7A259477" w14:textId="0F96A9A8" w:rsidR="00635089" w:rsidRPr="006E4F23" w:rsidRDefault="00635089" w:rsidP="00A92998">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lang w:val="el-GR"/>
        </w:rPr>
        <w:t xml:space="preserve">Η Δημόσια Επιχείρηση Ηλεκτρισμού Α.Ε. (η «ΔΕΗ») ανακοινώνει σήμερα ότι προτίθεται να προβεί σε έκδοση και προσφορά (η «Προσφορά») </w:t>
      </w:r>
      <w:r w:rsidR="00F17332">
        <w:rPr>
          <w:rFonts w:ascii="Ping LCG Regular" w:hAnsi="Ping LCG Regular"/>
          <w:color w:val="000000"/>
          <w:sz w:val="22"/>
          <w:szCs w:val="22"/>
          <w:lang w:val="el-GR"/>
        </w:rPr>
        <w:t>πράσινων</w:t>
      </w:r>
      <w:r w:rsidR="00F17332" w:rsidRPr="006E4F23">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μη εξασφαλισμένων ομολογιών πρώτης τάξης (</w:t>
      </w:r>
      <w:proofErr w:type="spellStart"/>
      <w:r w:rsidRPr="006E4F23">
        <w:rPr>
          <w:rFonts w:ascii="Ping LCG Regular" w:hAnsi="Ping LCG Regular"/>
          <w:color w:val="000000"/>
          <w:sz w:val="22"/>
          <w:szCs w:val="22"/>
          <w:lang w:val="el-GR"/>
        </w:rPr>
        <w:t>senior</w:t>
      </w:r>
      <w:proofErr w:type="spellEnd"/>
      <w:r w:rsidRPr="006E4F23">
        <w:rPr>
          <w:rFonts w:ascii="Ping LCG Regular" w:hAnsi="Ping LCG Regular"/>
          <w:color w:val="000000"/>
          <w:sz w:val="22"/>
          <w:szCs w:val="22"/>
          <w:lang w:val="el-GR"/>
        </w:rPr>
        <w:t xml:space="preserve"> </w:t>
      </w:r>
      <w:proofErr w:type="spellStart"/>
      <w:r w:rsidRPr="006E4F23">
        <w:rPr>
          <w:rFonts w:ascii="Ping LCG Regular" w:hAnsi="Ping LCG Regular"/>
          <w:color w:val="000000"/>
          <w:sz w:val="22"/>
          <w:szCs w:val="22"/>
          <w:lang w:val="el-GR"/>
        </w:rPr>
        <w:t>notes</w:t>
      </w:r>
      <w:proofErr w:type="spellEnd"/>
      <w:r w:rsidRPr="006E4F23">
        <w:rPr>
          <w:rFonts w:ascii="Ping LCG Regular" w:hAnsi="Ping LCG Regular"/>
          <w:color w:val="000000"/>
          <w:sz w:val="22"/>
          <w:szCs w:val="22"/>
          <w:lang w:val="el-GR"/>
        </w:rPr>
        <w:t xml:space="preserve">) </w:t>
      </w:r>
      <w:r w:rsidR="00B01DAF">
        <w:rPr>
          <w:rFonts w:ascii="Ping LCG Regular" w:hAnsi="Ping LCG Regular"/>
          <w:color w:val="000000"/>
          <w:sz w:val="22"/>
          <w:szCs w:val="22"/>
          <w:lang w:val="el-GR"/>
        </w:rPr>
        <w:t xml:space="preserve">συνολικής ονομαστικής αξίας </w:t>
      </w:r>
      <w:r w:rsidR="00F17332" w:rsidRPr="006E4F23">
        <w:rPr>
          <w:rFonts w:ascii="Ping LCG Regular" w:hAnsi="Ping LCG Regular"/>
          <w:color w:val="000000"/>
          <w:sz w:val="22"/>
          <w:szCs w:val="22"/>
          <w:lang w:val="el-GR"/>
        </w:rPr>
        <w:t>€</w:t>
      </w:r>
      <w:r w:rsidR="00F17332">
        <w:rPr>
          <w:rFonts w:ascii="Ping LCG Regular" w:hAnsi="Ping LCG Regular"/>
          <w:color w:val="000000"/>
          <w:sz w:val="22"/>
          <w:szCs w:val="22"/>
          <w:lang w:val="el-GR"/>
        </w:rPr>
        <w:t>775</w:t>
      </w:r>
      <w:r w:rsidR="00F17332" w:rsidRPr="006E4F23">
        <w:rPr>
          <w:rFonts w:ascii="Ping LCG Regular" w:hAnsi="Ping LCG Regular"/>
          <w:color w:val="000000"/>
          <w:sz w:val="22"/>
          <w:szCs w:val="22"/>
          <w:lang w:val="el-GR"/>
        </w:rPr>
        <w:t xml:space="preserve"> </w:t>
      </w:r>
      <w:r w:rsidRPr="00822E1D">
        <w:rPr>
          <w:rFonts w:ascii="Ping LCG Regular" w:hAnsi="Ping LCG Regular"/>
          <w:color w:val="000000"/>
          <w:sz w:val="22"/>
          <w:szCs w:val="22"/>
          <w:lang w:val="el-GR"/>
        </w:rPr>
        <w:t xml:space="preserve">εκατομμυρίων με λήξη το </w:t>
      </w:r>
      <w:r w:rsidR="00F17332">
        <w:rPr>
          <w:rFonts w:ascii="Ping LCG Regular" w:hAnsi="Ping LCG Regular"/>
          <w:color w:val="000000"/>
          <w:sz w:val="22"/>
          <w:szCs w:val="22"/>
          <w:lang w:val="el-GR"/>
        </w:rPr>
        <w:t>2030</w:t>
      </w:r>
      <w:r w:rsidR="00F17332" w:rsidRPr="00822E1D">
        <w:rPr>
          <w:rFonts w:ascii="Ping LCG Regular" w:hAnsi="Ping LCG Regular"/>
          <w:color w:val="000000"/>
          <w:sz w:val="22"/>
          <w:szCs w:val="22"/>
          <w:lang w:val="el-GR"/>
        </w:rPr>
        <w:t xml:space="preserve"> </w:t>
      </w:r>
      <w:r w:rsidRPr="00822E1D">
        <w:rPr>
          <w:rFonts w:ascii="Ping LCG Regular" w:hAnsi="Ping LCG Regular"/>
          <w:color w:val="000000"/>
          <w:sz w:val="22"/>
          <w:szCs w:val="22"/>
          <w:lang w:val="el-GR"/>
        </w:rPr>
        <w:t xml:space="preserve">(οι «Ομολογίες»), με την επιφύλαξη των συνθηκών και της ζήτησης στην αγορά. Τα έσοδα από την Προσφορά θα χρησιμοποιηθούν </w:t>
      </w:r>
      <w:r w:rsidR="00822E1D" w:rsidRPr="00822E1D">
        <w:rPr>
          <w:rFonts w:ascii="Ping LCG Regular" w:hAnsi="Ping LCG Regular"/>
          <w:color w:val="000000"/>
          <w:sz w:val="22"/>
          <w:szCs w:val="22"/>
          <w:lang w:val="el-GR"/>
        </w:rPr>
        <w:t>(</w:t>
      </w:r>
      <w:r w:rsidR="00822E1D" w:rsidRPr="00822E1D">
        <w:rPr>
          <w:rFonts w:ascii="Ping LCG Regular" w:hAnsi="Ping LCG Regular"/>
          <w:color w:val="000000"/>
          <w:sz w:val="22"/>
          <w:szCs w:val="22"/>
        </w:rPr>
        <w:t>i</w:t>
      </w:r>
      <w:r w:rsidR="00822E1D" w:rsidRPr="00822E1D">
        <w:rPr>
          <w:rFonts w:ascii="Ping LCG Regular" w:hAnsi="Ping LCG Regular"/>
          <w:color w:val="000000"/>
          <w:sz w:val="22"/>
          <w:szCs w:val="22"/>
          <w:lang w:val="el-GR"/>
        </w:rPr>
        <w:t xml:space="preserve">) </w:t>
      </w:r>
      <w:r w:rsidR="00A92998" w:rsidRPr="00822E1D">
        <w:rPr>
          <w:rFonts w:ascii="Ping LCG Regular" w:hAnsi="Ping LCG Regular"/>
          <w:color w:val="000000"/>
          <w:sz w:val="22"/>
          <w:szCs w:val="22"/>
          <w:lang w:val="el-GR"/>
        </w:rPr>
        <w:t>για την ολοσχερή εξόφληση υφιστάμενων πρώτης τάξεως (</w:t>
      </w:r>
      <w:proofErr w:type="spellStart"/>
      <w:r w:rsidR="00A92998" w:rsidRPr="00822E1D">
        <w:rPr>
          <w:rFonts w:ascii="Ping LCG Regular" w:hAnsi="Ping LCG Regular"/>
          <w:color w:val="000000"/>
          <w:sz w:val="22"/>
          <w:szCs w:val="22"/>
          <w:lang w:val="el-GR"/>
        </w:rPr>
        <w:t>senior</w:t>
      </w:r>
      <w:proofErr w:type="spellEnd"/>
      <w:r w:rsidR="00A92998" w:rsidRPr="00822E1D">
        <w:rPr>
          <w:rFonts w:ascii="Ping LCG Regular" w:hAnsi="Ping LCG Regular"/>
          <w:color w:val="000000"/>
          <w:sz w:val="22"/>
          <w:szCs w:val="22"/>
          <w:lang w:val="el-GR"/>
        </w:rPr>
        <w:t>) ομολογιών</w:t>
      </w:r>
      <w:r w:rsidR="007356FD">
        <w:rPr>
          <w:rFonts w:ascii="Ping LCG Regular" w:hAnsi="Ping LCG Regular"/>
          <w:color w:val="000000"/>
          <w:sz w:val="22"/>
          <w:szCs w:val="22"/>
          <w:lang w:val="el-GR"/>
        </w:rPr>
        <w:t xml:space="preserve"> με ρήτρα </w:t>
      </w:r>
      <w:proofErr w:type="spellStart"/>
      <w:r w:rsidR="007356FD">
        <w:rPr>
          <w:rFonts w:ascii="Ping LCG Regular" w:hAnsi="Ping LCG Regular"/>
          <w:color w:val="000000"/>
          <w:sz w:val="22"/>
          <w:szCs w:val="22"/>
          <w:lang w:val="el-GR"/>
        </w:rPr>
        <w:t>αειφορίας</w:t>
      </w:r>
      <w:proofErr w:type="spellEnd"/>
      <w:r w:rsidR="00A92998" w:rsidRPr="00822E1D">
        <w:rPr>
          <w:rFonts w:ascii="Ping LCG Regular" w:hAnsi="Ping LCG Regular"/>
          <w:color w:val="000000"/>
          <w:sz w:val="22"/>
          <w:szCs w:val="22"/>
          <w:lang w:val="el-GR"/>
        </w:rPr>
        <w:t xml:space="preserve">, </w:t>
      </w:r>
      <w:r w:rsidR="00B01DAF">
        <w:rPr>
          <w:rFonts w:ascii="Ping LCG Regular" w:hAnsi="Ping LCG Regular"/>
          <w:color w:val="000000"/>
          <w:sz w:val="22"/>
          <w:szCs w:val="22"/>
          <w:lang w:val="el-GR"/>
        </w:rPr>
        <w:t>συνολικής ονομαστικής αξίας</w:t>
      </w:r>
      <w:r w:rsidR="00B01DAF" w:rsidRPr="00822E1D">
        <w:rPr>
          <w:rFonts w:ascii="Ping LCG Regular" w:hAnsi="Ping LCG Regular"/>
          <w:color w:val="000000"/>
          <w:sz w:val="22"/>
          <w:szCs w:val="22"/>
          <w:lang w:val="el-GR"/>
        </w:rPr>
        <w:t xml:space="preserve"> </w:t>
      </w:r>
      <w:r w:rsidR="00A92998" w:rsidRPr="00822E1D">
        <w:rPr>
          <w:rFonts w:ascii="Ping LCG Regular" w:hAnsi="Ping LCG Regular"/>
          <w:color w:val="000000"/>
          <w:sz w:val="22"/>
          <w:szCs w:val="22"/>
          <w:lang w:val="el-GR"/>
        </w:rPr>
        <w:t>€775</w:t>
      </w:r>
      <w:r w:rsidR="00106A6F" w:rsidRPr="002D7A3B">
        <w:rPr>
          <w:rFonts w:ascii="Ping LCG Regular" w:hAnsi="Ping LCG Regular"/>
          <w:color w:val="000000"/>
          <w:sz w:val="22"/>
          <w:szCs w:val="22"/>
          <w:lang w:val="el-GR"/>
        </w:rPr>
        <w:t xml:space="preserve"> </w:t>
      </w:r>
      <w:r w:rsidR="00106A6F">
        <w:rPr>
          <w:rFonts w:ascii="Ping LCG Regular" w:hAnsi="Ping LCG Regular"/>
          <w:color w:val="000000"/>
          <w:sz w:val="22"/>
          <w:szCs w:val="22"/>
          <w:lang w:val="el-GR"/>
        </w:rPr>
        <w:t>εκατομμυρίων</w:t>
      </w:r>
      <w:r w:rsidR="00A92998" w:rsidRPr="00822E1D">
        <w:rPr>
          <w:rFonts w:ascii="Ping LCG Regular" w:hAnsi="Ping LCG Regular"/>
          <w:color w:val="000000"/>
          <w:sz w:val="22"/>
          <w:szCs w:val="22"/>
          <w:lang w:val="el-GR"/>
        </w:rPr>
        <w:t xml:space="preserve">, με επιτόκιο </w:t>
      </w:r>
      <w:r w:rsidR="00106A6F" w:rsidRPr="00106A6F">
        <w:rPr>
          <w:rFonts w:ascii="Ping LCG Regular" w:hAnsi="Ping LCG Regular"/>
          <w:color w:val="000000"/>
          <w:sz w:val="22"/>
          <w:szCs w:val="22"/>
          <w:lang w:val="el-GR"/>
        </w:rPr>
        <w:t>4</w:t>
      </w:r>
      <w:r w:rsidR="00A92998" w:rsidRPr="00822E1D">
        <w:rPr>
          <w:rFonts w:ascii="Ping LCG Regular" w:hAnsi="Ping LCG Regular"/>
          <w:color w:val="000000"/>
          <w:sz w:val="22"/>
          <w:szCs w:val="22"/>
          <w:lang w:val="el-GR"/>
        </w:rPr>
        <w:t>,</w:t>
      </w:r>
      <w:r w:rsidR="00106A6F" w:rsidRPr="002D7A3B">
        <w:rPr>
          <w:rFonts w:ascii="Ping LCG Regular" w:hAnsi="Ping LCG Regular"/>
          <w:color w:val="000000"/>
          <w:sz w:val="22"/>
          <w:szCs w:val="22"/>
          <w:lang w:val="el-GR"/>
        </w:rPr>
        <w:t>3</w:t>
      </w:r>
      <w:r w:rsidR="00106A6F" w:rsidRPr="00822E1D">
        <w:rPr>
          <w:rFonts w:ascii="Ping LCG Regular" w:hAnsi="Ping LCG Regular"/>
          <w:color w:val="000000"/>
          <w:sz w:val="22"/>
          <w:szCs w:val="22"/>
          <w:lang w:val="el-GR"/>
        </w:rPr>
        <w:t>75</w:t>
      </w:r>
      <w:r w:rsidR="00A92998" w:rsidRPr="00822E1D">
        <w:rPr>
          <w:rFonts w:ascii="Ping LCG Regular" w:hAnsi="Ping LCG Regular"/>
          <w:color w:val="000000"/>
          <w:sz w:val="22"/>
          <w:szCs w:val="22"/>
          <w:lang w:val="el-GR"/>
        </w:rPr>
        <w:t xml:space="preserve">% και λήξη το 2026 </w:t>
      </w:r>
      <w:r w:rsidRPr="00822E1D">
        <w:rPr>
          <w:rFonts w:ascii="Ping LCG Regular" w:hAnsi="Ping LCG Regular"/>
          <w:color w:val="000000"/>
          <w:sz w:val="22"/>
          <w:szCs w:val="22"/>
          <w:lang w:val="el-GR"/>
        </w:rPr>
        <w:t xml:space="preserve">και </w:t>
      </w:r>
      <w:r w:rsidR="00822E1D" w:rsidRPr="00822E1D">
        <w:rPr>
          <w:rFonts w:ascii="Ping LCG Regular" w:hAnsi="Ping LCG Regular"/>
          <w:color w:val="000000"/>
          <w:sz w:val="22"/>
          <w:szCs w:val="22"/>
          <w:lang w:val="el-GR"/>
        </w:rPr>
        <w:t>(</w:t>
      </w:r>
      <w:r w:rsidR="00822E1D" w:rsidRPr="00822E1D">
        <w:rPr>
          <w:rFonts w:ascii="Ping LCG Regular" w:hAnsi="Ping LCG Regular"/>
          <w:color w:val="000000"/>
          <w:sz w:val="22"/>
          <w:szCs w:val="22"/>
        </w:rPr>
        <w:t>ii</w:t>
      </w:r>
      <w:r w:rsidR="00822E1D" w:rsidRPr="00822E1D">
        <w:rPr>
          <w:rFonts w:ascii="Ping LCG Regular" w:hAnsi="Ping LCG Regular"/>
          <w:color w:val="000000"/>
          <w:sz w:val="22"/>
          <w:szCs w:val="22"/>
          <w:lang w:val="el-GR"/>
        </w:rPr>
        <w:t xml:space="preserve">) </w:t>
      </w:r>
      <w:r w:rsidRPr="00822E1D">
        <w:rPr>
          <w:rFonts w:ascii="Ping LCG Regular" w:hAnsi="Ping LCG Regular"/>
          <w:color w:val="000000"/>
          <w:sz w:val="22"/>
          <w:szCs w:val="22"/>
          <w:lang w:val="el-GR"/>
        </w:rPr>
        <w:t xml:space="preserve">για την πληρωμή των δαπανών και εξόδων της Προσφοράς. </w:t>
      </w:r>
      <w:r w:rsidR="00657206">
        <w:rPr>
          <w:rFonts w:ascii="Ping LCG Regular" w:hAnsi="Ping LCG Regular"/>
          <w:color w:val="000000"/>
          <w:sz w:val="22"/>
          <w:szCs w:val="22"/>
          <w:lang w:val="el-GR"/>
        </w:rPr>
        <w:t>Επιπρόσθετα, η ΔΕΗ σκοπεύει να διαθέσει π</w:t>
      </w:r>
      <w:r w:rsidR="00A92998" w:rsidRPr="00822E1D">
        <w:rPr>
          <w:rFonts w:ascii="Ping LCG Regular" w:hAnsi="Ping LCG Regular"/>
          <w:color w:val="000000"/>
          <w:sz w:val="22"/>
          <w:szCs w:val="22"/>
          <w:lang w:val="el-GR"/>
        </w:rPr>
        <w:t xml:space="preserve">οσό αντίστοιχο με τα καθαρά κεφάλαια που θα αντληθούν από </w:t>
      </w:r>
      <w:r w:rsidR="00657206">
        <w:rPr>
          <w:rFonts w:ascii="Ping LCG Regular" w:hAnsi="Ping LCG Regular"/>
          <w:color w:val="000000"/>
          <w:sz w:val="22"/>
          <w:szCs w:val="22"/>
          <w:lang w:val="el-GR"/>
        </w:rPr>
        <w:t>την Προσφορά</w:t>
      </w:r>
      <w:r w:rsidR="00A92998" w:rsidRPr="00822E1D">
        <w:rPr>
          <w:rFonts w:ascii="Ping LCG Regular" w:hAnsi="Ping LCG Regular"/>
          <w:color w:val="000000"/>
          <w:sz w:val="22"/>
          <w:szCs w:val="22"/>
          <w:lang w:val="el-GR"/>
        </w:rPr>
        <w:t xml:space="preserve"> για τη χρηματοδότηση ή </w:t>
      </w:r>
      <w:proofErr w:type="spellStart"/>
      <w:r w:rsidR="00A92998" w:rsidRPr="00822E1D">
        <w:rPr>
          <w:rFonts w:ascii="Ping LCG Regular" w:hAnsi="Ping LCG Regular"/>
          <w:color w:val="000000"/>
          <w:sz w:val="22"/>
          <w:szCs w:val="22"/>
          <w:lang w:val="el-GR"/>
        </w:rPr>
        <w:t>αναχρηματοδότηση</w:t>
      </w:r>
      <w:proofErr w:type="spellEnd"/>
      <w:r w:rsidR="00A92998" w:rsidRPr="00822E1D">
        <w:rPr>
          <w:rFonts w:ascii="Ping LCG Regular" w:hAnsi="Ping LCG Regular"/>
          <w:color w:val="000000"/>
          <w:sz w:val="22"/>
          <w:szCs w:val="22"/>
          <w:lang w:val="el-GR"/>
        </w:rPr>
        <w:t xml:space="preserve">, ολικά ή μερικά, επιλέξιμων πράσινων έργων, </w:t>
      </w:r>
      <w:r w:rsidR="00822E1D" w:rsidRPr="00822E1D">
        <w:rPr>
          <w:rFonts w:ascii="Ping LCG Regular" w:hAnsi="Ping LCG Regular"/>
          <w:color w:val="000000"/>
          <w:sz w:val="22"/>
          <w:szCs w:val="22"/>
          <w:lang w:val="el-GR"/>
        </w:rPr>
        <w:t xml:space="preserve">(συμπεριλαμβανομένων και άλλων σχετικών και υποστηρικτικών δαπανών), </w:t>
      </w:r>
      <w:r w:rsidR="00657206">
        <w:rPr>
          <w:rFonts w:ascii="Ping LCG Regular" w:hAnsi="Ping LCG Regular"/>
          <w:color w:val="000000"/>
          <w:sz w:val="22"/>
          <w:szCs w:val="22"/>
          <w:lang w:val="el-GR"/>
        </w:rPr>
        <w:t xml:space="preserve">με βάση και </w:t>
      </w:r>
      <w:r w:rsidR="00822E1D">
        <w:rPr>
          <w:rFonts w:ascii="Ping LCG Regular" w:hAnsi="Ping LCG Regular"/>
          <w:color w:val="000000"/>
          <w:sz w:val="22"/>
          <w:szCs w:val="22"/>
          <w:lang w:val="el-GR"/>
        </w:rPr>
        <w:t>σύμφωνα με το</w:t>
      </w:r>
      <w:r w:rsidR="00A92998" w:rsidRPr="00822E1D">
        <w:rPr>
          <w:rFonts w:ascii="Ping LCG Regular" w:hAnsi="Ping LCG Regular"/>
          <w:color w:val="000000"/>
          <w:sz w:val="22"/>
          <w:szCs w:val="22"/>
          <w:lang w:val="el-GR"/>
        </w:rPr>
        <w:t xml:space="preserve"> </w:t>
      </w:r>
      <w:r w:rsidR="00822E1D" w:rsidRPr="00822E1D">
        <w:rPr>
          <w:rFonts w:ascii="Ping LCG Regular" w:hAnsi="Ping LCG Regular"/>
          <w:color w:val="000000"/>
          <w:sz w:val="22"/>
          <w:szCs w:val="22"/>
          <w:lang w:val="el-GR"/>
        </w:rPr>
        <w:t>πλαίσιο</w:t>
      </w:r>
      <w:r w:rsidR="00A92998" w:rsidRPr="00822E1D">
        <w:rPr>
          <w:rFonts w:ascii="Ping LCG Regular" w:hAnsi="Ping LCG Regular"/>
          <w:color w:val="000000"/>
          <w:sz w:val="22"/>
          <w:szCs w:val="22"/>
          <w:lang w:val="el-GR"/>
        </w:rPr>
        <w:t xml:space="preserve"> πράσινης χρηματοδότησ</w:t>
      </w:r>
      <w:r w:rsidR="009A4FA9">
        <w:rPr>
          <w:rFonts w:ascii="Ping LCG Regular" w:hAnsi="Ping LCG Regular"/>
          <w:color w:val="000000"/>
          <w:sz w:val="22"/>
          <w:szCs w:val="22"/>
          <w:lang w:val="el-GR"/>
        </w:rPr>
        <w:t>ή</w:t>
      </w:r>
      <w:r w:rsidR="00A92998" w:rsidRPr="00822E1D">
        <w:rPr>
          <w:rFonts w:ascii="Ping LCG Regular" w:hAnsi="Ping LCG Regular"/>
          <w:color w:val="000000"/>
          <w:sz w:val="22"/>
          <w:szCs w:val="22"/>
          <w:lang w:val="el-GR"/>
        </w:rPr>
        <w:t xml:space="preserve">ς της. </w:t>
      </w:r>
      <w:r w:rsidRPr="00822E1D">
        <w:rPr>
          <w:rFonts w:ascii="Ping LCG Regular" w:hAnsi="Ping LCG Regular"/>
          <w:color w:val="000000"/>
          <w:sz w:val="22"/>
          <w:szCs w:val="22"/>
          <w:lang w:val="el-GR"/>
        </w:rPr>
        <w:t xml:space="preserve">Δεν είναι δυνατό να διασφαλιστεί η πραγματοποίηση της Προσφοράς, ούτε και το προαναφερθέν ύψος αυτής. Η ΔΕΗ σκοπεύει στην εισαγωγή των Ομολογιών στο χρηματιστήριο </w:t>
      </w:r>
      <w:proofErr w:type="spellStart"/>
      <w:r w:rsidRPr="00822E1D">
        <w:rPr>
          <w:rFonts w:ascii="Ping LCG Regular" w:hAnsi="Ping LCG Regular"/>
          <w:color w:val="000000"/>
          <w:sz w:val="22"/>
          <w:szCs w:val="22"/>
          <w:lang w:val="el-GR"/>
        </w:rPr>
        <w:t>Euronext</w:t>
      </w:r>
      <w:proofErr w:type="spellEnd"/>
      <w:r w:rsidRPr="00822E1D">
        <w:rPr>
          <w:rFonts w:ascii="Ping LCG Regular" w:hAnsi="Ping LCG Regular"/>
          <w:color w:val="000000"/>
          <w:sz w:val="22"/>
          <w:szCs w:val="22"/>
          <w:lang w:val="el-GR"/>
        </w:rPr>
        <w:t xml:space="preserve"> του Δουβλίνου προς διαπραγμάτευση στη Διεθνή Χρηματιστηριακή Αγορά (Global Exchange Market) αυτού, ή σε κάποιον άλλο κατάλληλο τόπο διαπραγμάτευσης στην Ευρωπαϊκή Ένωση.</w:t>
      </w:r>
    </w:p>
    <w:p w14:paraId="7F7792B0" w14:textId="77777777" w:rsidR="006E4F23" w:rsidRPr="00B41864" w:rsidRDefault="006E4F23" w:rsidP="006E4F23">
      <w:pPr>
        <w:tabs>
          <w:tab w:val="right" w:pos="8646"/>
        </w:tabs>
        <w:jc w:val="both"/>
        <w:rPr>
          <w:rFonts w:ascii="Ping LCG Regular" w:hAnsi="Ping LCG Regular"/>
          <w:color w:val="000000"/>
          <w:sz w:val="22"/>
          <w:szCs w:val="22"/>
          <w:lang w:val="el-GR"/>
        </w:rPr>
      </w:pPr>
    </w:p>
    <w:p w14:paraId="0EBD85F4" w14:textId="235F7F17" w:rsidR="00635089" w:rsidRPr="006E4F23" w:rsidRDefault="00635089" w:rsidP="006E4F23">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rPr>
        <w:t>H</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Citigroup</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Global</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Markets</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Europe</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AG</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η</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Goldman</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Sachs</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Bank</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Europe</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SE</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και</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η</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HSBC</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Continental</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Europe</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ενεργούν</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ως</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από</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κοινού</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Διεθνείς</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Συντονιστές</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και</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Κύριοι</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Διαχειριστές</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του</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Βιβλίου</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Προσφορών</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και</w:t>
      </w:r>
      <w:r w:rsidR="00FF40D2" w:rsidRPr="00FF40D2">
        <w:rPr>
          <w:rFonts w:ascii="Ping LCG Regular" w:hAnsi="Ping LCG Regular"/>
          <w:color w:val="000000"/>
          <w:sz w:val="22"/>
          <w:szCs w:val="22"/>
          <w:lang w:val="el-GR"/>
        </w:rPr>
        <w:t xml:space="preserve"> </w:t>
      </w:r>
      <w:r w:rsidR="00FF40D2">
        <w:rPr>
          <w:rFonts w:ascii="Ping LCG Regular" w:hAnsi="Ping LCG Regular"/>
          <w:color w:val="000000"/>
          <w:sz w:val="22"/>
          <w:szCs w:val="22"/>
          <w:lang w:val="el-GR"/>
        </w:rPr>
        <w:t>οι</w:t>
      </w:r>
      <w:r w:rsidR="006E63F9" w:rsidRPr="00106A6F">
        <w:rPr>
          <w:rFonts w:ascii="Ping LCG Regular" w:hAnsi="Ping LCG Regular"/>
          <w:color w:val="000000"/>
          <w:sz w:val="22"/>
          <w:szCs w:val="22"/>
          <w:lang w:val="el-GR"/>
        </w:rPr>
        <w:t xml:space="preserve"> </w:t>
      </w:r>
      <w:proofErr w:type="spellStart"/>
      <w:r w:rsidR="006E63F9" w:rsidRPr="006E63F9">
        <w:rPr>
          <w:rFonts w:ascii="Ping LCG Regular" w:hAnsi="Ping LCG Regular"/>
          <w:color w:val="000000"/>
          <w:sz w:val="22"/>
          <w:szCs w:val="22"/>
        </w:rPr>
        <w:t>BofA</w:t>
      </w:r>
      <w:proofErr w:type="spellEnd"/>
      <w:r w:rsidR="006E63F9" w:rsidRPr="00106A6F">
        <w:rPr>
          <w:rFonts w:ascii="Ping LCG Regular" w:hAnsi="Ping LCG Regular"/>
          <w:color w:val="000000"/>
          <w:sz w:val="22"/>
          <w:szCs w:val="22"/>
          <w:lang w:val="el-GR"/>
        </w:rPr>
        <w:t xml:space="preserve"> </w:t>
      </w:r>
      <w:r w:rsidR="006E63F9" w:rsidRPr="006E63F9">
        <w:rPr>
          <w:rFonts w:ascii="Ping LCG Regular" w:hAnsi="Ping LCG Regular"/>
          <w:color w:val="000000"/>
          <w:sz w:val="22"/>
          <w:szCs w:val="22"/>
        </w:rPr>
        <w:t>Securities</w:t>
      </w:r>
      <w:r w:rsidR="006E63F9" w:rsidRPr="00106A6F">
        <w:rPr>
          <w:rFonts w:ascii="Ping LCG Regular" w:hAnsi="Ping LCG Regular"/>
          <w:color w:val="000000"/>
          <w:sz w:val="22"/>
          <w:szCs w:val="22"/>
          <w:lang w:val="el-GR"/>
        </w:rPr>
        <w:t xml:space="preserve"> </w:t>
      </w:r>
      <w:r w:rsidR="006E63F9" w:rsidRPr="006E63F9">
        <w:rPr>
          <w:rFonts w:ascii="Ping LCG Regular" w:hAnsi="Ping LCG Regular"/>
          <w:color w:val="000000"/>
          <w:sz w:val="22"/>
          <w:szCs w:val="22"/>
        </w:rPr>
        <w:t>Europe</w:t>
      </w:r>
      <w:r w:rsidR="006E63F9" w:rsidRPr="00106A6F">
        <w:rPr>
          <w:rFonts w:ascii="Ping LCG Regular" w:hAnsi="Ping LCG Regular"/>
          <w:color w:val="000000"/>
          <w:sz w:val="22"/>
          <w:szCs w:val="22"/>
          <w:lang w:val="el-GR"/>
        </w:rPr>
        <w:t xml:space="preserve"> </w:t>
      </w:r>
      <w:r w:rsidR="006E63F9" w:rsidRPr="006E63F9">
        <w:rPr>
          <w:rFonts w:ascii="Ping LCG Regular" w:hAnsi="Ping LCG Regular"/>
          <w:color w:val="000000"/>
          <w:sz w:val="22"/>
          <w:szCs w:val="22"/>
        </w:rPr>
        <w:t>SA</w:t>
      </w:r>
      <w:r w:rsidR="006E63F9" w:rsidRPr="00106A6F">
        <w:rPr>
          <w:rFonts w:ascii="Ping LCG Regular" w:hAnsi="Ping LCG Regular"/>
          <w:color w:val="000000"/>
          <w:sz w:val="22"/>
          <w:szCs w:val="22"/>
          <w:lang w:val="el-GR"/>
        </w:rPr>
        <w:t>,</w:t>
      </w:r>
      <w:r w:rsidRPr="00B41864">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BNP</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PARIBAS</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Deutsche</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Bank</w:t>
      </w:r>
      <w:r w:rsidR="00FF40D2" w:rsidRPr="00FF40D2">
        <w:rPr>
          <w:rFonts w:ascii="Ping LCG Regular" w:hAnsi="Ping LCG Regular"/>
          <w:color w:val="000000"/>
          <w:sz w:val="22"/>
          <w:szCs w:val="22"/>
          <w:lang w:val="el-GR"/>
        </w:rPr>
        <w:t xml:space="preserve"> </w:t>
      </w:r>
      <w:proofErr w:type="spellStart"/>
      <w:r w:rsidR="00FF40D2" w:rsidRPr="00FF40D2">
        <w:rPr>
          <w:rFonts w:ascii="Ping LCG Regular" w:hAnsi="Ping LCG Regular"/>
          <w:color w:val="000000"/>
          <w:sz w:val="22"/>
          <w:szCs w:val="22"/>
        </w:rPr>
        <w:t>Aktiengesellschaft</w:t>
      </w:r>
      <w:proofErr w:type="spellEnd"/>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Morgan</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Stanley</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Europe</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SE</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Nomura</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Financial</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Products</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Europe</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GmbH</w:t>
      </w:r>
      <w:r w:rsidR="00FF40D2" w:rsidRPr="00FF40D2">
        <w:rPr>
          <w:rFonts w:ascii="Ping LCG Regular" w:hAnsi="Ping LCG Regular"/>
          <w:color w:val="000000"/>
          <w:sz w:val="22"/>
          <w:szCs w:val="22"/>
          <w:lang w:val="el-GR"/>
        </w:rPr>
        <w:t xml:space="preserve">, </w:t>
      </w:r>
      <w:proofErr w:type="spellStart"/>
      <w:r w:rsidR="00FF40D2" w:rsidRPr="00FF40D2">
        <w:rPr>
          <w:rFonts w:ascii="Ping LCG Regular" w:hAnsi="Ping LCG Regular"/>
          <w:color w:val="000000"/>
          <w:sz w:val="22"/>
          <w:szCs w:val="22"/>
        </w:rPr>
        <w:t>Soci</w:t>
      </w:r>
      <w:proofErr w:type="spellEnd"/>
      <w:r w:rsidR="00FF40D2" w:rsidRPr="00FF40D2">
        <w:rPr>
          <w:rFonts w:ascii="Ping LCG Regular" w:hAnsi="Ping LCG Regular"/>
          <w:color w:val="000000"/>
          <w:sz w:val="22"/>
          <w:szCs w:val="22"/>
          <w:lang w:val="el-GR"/>
        </w:rPr>
        <w:t>é</w:t>
      </w:r>
      <w:r w:rsidR="00FF40D2" w:rsidRPr="00FF40D2">
        <w:rPr>
          <w:rFonts w:ascii="Ping LCG Regular" w:hAnsi="Ping LCG Regular"/>
          <w:color w:val="000000"/>
          <w:sz w:val="22"/>
          <w:szCs w:val="22"/>
        </w:rPr>
        <w:t>t</w:t>
      </w:r>
      <w:r w:rsidR="00FF40D2" w:rsidRPr="00FF40D2">
        <w:rPr>
          <w:rFonts w:ascii="Ping LCG Regular" w:hAnsi="Ping LCG Regular"/>
          <w:color w:val="000000"/>
          <w:sz w:val="22"/>
          <w:szCs w:val="22"/>
          <w:lang w:val="el-GR"/>
        </w:rPr>
        <w:t xml:space="preserve">é </w:t>
      </w:r>
      <w:r w:rsidR="00FF40D2" w:rsidRPr="00FF40D2">
        <w:rPr>
          <w:rFonts w:ascii="Ping LCG Regular" w:hAnsi="Ping LCG Regular"/>
          <w:color w:val="000000"/>
          <w:sz w:val="22"/>
          <w:szCs w:val="22"/>
        </w:rPr>
        <w:t>G</w:t>
      </w:r>
      <w:r w:rsidR="00FF40D2" w:rsidRPr="00FF40D2">
        <w:rPr>
          <w:rFonts w:ascii="Ping LCG Regular" w:hAnsi="Ping LCG Regular"/>
          <w:color w:val="000000"/>
          <w:sz w:val="22"/>
          <w:szCs w:val="22"/>
          <w:lang w:val="el-GR"/>
        </w:rPr>
        <w:t>é</w:t>
      </w:r>
      <w:r w:rsidR="00FF40D2" w:rsidRPr="00FF40D2">
        <w:rPr>
          <w:rFonts w:ascii="Ping LCG Regular" w:hAnsi="Ping LCG Regular"/>
          <w:color w:val="000000"/>
          <w:sz w:val="22"/>
          <w:szCs w:val="22"/>
        </w:rPr>
        <w:t>n</w:t>
      </w:r>
      <w:r w:rsidR="00FF40D2" w:rsidRPr="00FF40D2">
        <w:rPr>
          <w:rFonts w:ascii="Ping LCG Regular" w:hAnsi="Ping LCG Regular"/>
          <w:color w:val="000000"/>
          <w:sz w:val="22"/>
          <w:szCs w:val="22"/>
          <w:lang w:val="el-GR"/>
        </w:rPr>
        <w:t>é</w:t>
      </w:r>
      <w:r w:rsidR="00FF40D2" w:rsidRPr="00FF40D2">
        <w:rPr>
          <w:rFonts w:ascii="Ping LCG Regular" w:hAnsi="Ping LCG Regular"/>
          <w:color w:val="000000"/>
          <w:sz w:val="22"/>
          <w:szCs w:val="22"/>
        </w:rPr>
        <w:t>rale</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UniCredit</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Bank</w:t>
      </w:r>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GmbH</w:t>
      </w:r>
      <w:r w:rsidR="00FF40D2">
        <w:rPr>
          <w:rFonts w:ascii="Ping LCG Regular" w:hAnsi="Ping LCG Regular"/>
          <w:color w:val="000000"/>
          <w:sz w:val="22"/>
          <w:szCs w:val="22"/>
          <w:lang w:val="el-GR"/>
        </w:rPr>
        <w:t xml:space="preserve">, </w:t>
      </w:r>
      <w:r w:rsidRPr="006E4F23">
        <w:rPr>
          <w:rFonts w:ascii="Ping LCG Regular" w:hAnsi="Ping LCG Regular"/>
          <w:color w:val="000000"/>
          <w:sz w:val="22"/>
          <w:szCs w:val="22"/>
        </w:rPr>
        <w:t>Alpha</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Bank</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w:t>
      </w:r>
      <w:r w:rsidRPr="00B41864">
        <w:rPr>
          <w:rFonts w:ascii="Ping LCG Regular" w:hAnsi="Ping LCG Regular"/>
          <w:color w:val="000000"/>
          <w:sz w:val="22"/>
          <w:szCs w:val="22"/>
          <w:lang w:val="el-GR"/>
        </w:rPr>
        <w:t>.</w:t>
      </w:r>
      <w:r w:rsidRPr="006E4F23">
        <w:rPr>
          <w:rFonts w:ascii="Ping LCG Regular" w:hAnsi="Ping LCG Regular"/>
          <w:color w:val="000000"/>
          <w:sz w:val="22"/>
          <w:szCs w:val="22"/>
          <w:lang w:val="el-GR"/>
        </w:rPr>
        <w:t>Ε</w:t>
      </w:r>
      <w:r w:rsidRPr="00B41864">
        <w:rPr>
          <w:rFonts w:ascii="Ping LCG Regular" w:hAnsi="Ping LCG Regular"/>
          <w:color w:val="000000"/>
          <w:sz w:val="22"/>
          <w:szCs w:val="22"/>
          <w:lang w:val="el-GR"/>
        </w:rPr>
        <w:t xml:space="preserve">., </w:t>
      </w:r>
      <w:proofErr w:type="spellStart"/>
      <w:r w:rsidR="00FF40D2" w:rsidRPr="00FF40D2">
        <w:rPr>
          <w:rFonts w:ascii="Ping LCG Regular" w:hAnsi="Ping LCG Regular"/>
          <w:color w:val="000000"/>
          <w:sz w:val="22"/>
          <w:szCs w:val="22"/>
        </w:rPr>
        <w:t>Credia</w:t>
      </w:r>
      <w:proofErr w:type="spellEnd"/>
      <w:r w:rsidR="00FF40D2" w:rsidRPr="00FF40D2">
        <w:rPr>
          <w:rFonts w:ascii="Ping LCG Regular" w:hAnsi="Ping LCG Regular"/>
          <w:color w:val="000000"/>
          <w:sz w:val="22"/>
          <w:szCs w:val="22"/>
          <w:lang w:val="el-GR"/>
        </w:rPr>
        <w:t xml:space="preserve"> </w:t>
      </w:r>
      <w:r w:rsidR="00FF40D2" w:rsidRPr="00FF40D2">
        <w:rPr>
          <w:rFonts w:ascii="Ping LCG Regular" w:hAnsi="Ping LCG Regular"/>
          <w:color w:val="000000"/>
          <w:sz w:val="22"/>
          <w:szCs w:val="22"/>
        </w:rPr>
        <w:t>Bank</w:t>
      </w:r>
      <w:r w:rsidR="00FF40D2" w:rsidRPr="00FF40D2">
        <w:rPr>
          <w:rFonts w:ascii="Ping LCG Regular" w:hAnsi="Ping LCG Regular"/>
          <w:color w:val="000000"/>
          <w:sz w:val="22"/>
          <w:szCs w:val="22"/>
          <w:lang w:val="el-GR"/>
        </w:rPr>
        <w:t xml:space="preserve"> </w:t>
      </w:r>
      <w:r w:rsidR="00FF40D2">
        <w:rPr>
          <w:rFonts w:ascii="Ping LCG Regular" w:hAnsi="Ping LCG Regular"/>
          <w:color w:val="000000"/>
          <w:sz w:val="22"/>
          <w:szCs w:val="22"/>
          <w:lang w:val="el-GR"/>
        </w:rPr>
        <w:t xml:space="preserve">Α.Ε, </w:t>
      </w:r>
      <w:r w:rsidRPr="006E4F23">
        <w:rPr>
          <w:rFonts w:ascii="Ping LCG Regular" w:hAnsi="Ping LCG Regular"/>
          <w:color w:val="000000"/>
          <w:sz w:val="22"/>
          <w:szCs w:val="22"/>
        </w:rPr>
        <w:t>Eurobank</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w:t>
      </w:r>
      <w:r w:rsidRPr="00B41864">
        <w:rPr>
          <w:rFonts w:ascii="Ping LCG Regular" w:hAnsi="Ping LCG Regular"/>
          <w:color w:val="000000"/>
          <w:sz w:val="22"/>
          <w:szCs w:val="22"/>
          <w:lang w:val="el-GR"/>
        </w:rPr>
        <w:t>.</w:t>
      </w:r>
      <w:r w:rsidRPr="006E4F23">
        <w:rPr>
          <w:rFonts w:ascii="Ping LCG Regular" w:hAnsi="Ping LCG Regular"/>
          <w:color w:val="000000"/>
          <w:sz w:val="22"/>
          <w:szCs w:val="22"/>
          <w:lang w:val="el-GR"/>
        </w:rPr>
        <w:t>Ε</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Εθνική</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Τράπεζα</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της</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Ελλάδος</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w:t>
      </w:r>
      <w:r w:rsidRPr="00B41864">
        <w:rPr>
          <w:rFonts w:ascii="Ping LCG Regular" w:hAnsi="Ping LCG Regular"/>
          <w:color w:val="000000"/>
          <w:sz w:val="22"/>
          <w:szCs w:val="22"/>
          <w:lang w:val="el-GR"/>
        </w:rPr>
        <w:t>.</w:t>
      </w:r>
      <w:r w:rsidRPr="006E4F23">
        <w:rPr>
          <w:rFonts w:ascii="Ping LCG Regular" w:hAnsi="Ping LCG Regular"/>
          <w:color w:val="000000"/>
          <w:sz w:val="22"/>
          <w:szCs w:val="22"/>
          <w:lang w:val="el-GR"/>
        </w:rPr>
        <w:t>Ε</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Τράπεζα</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Optima</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w:t>
      </w:r>
      <w:r w:rsidRPr="00B41864">
        <w:rPr>
          <w:rFonts w:ascii="Ping LCG Regular" w:hAnsi="Ping LCG Regular"/>
          <w:color w:val="000000"/>
          <w:sz w:val="22"/>
          <w:szCs w:val="22"/>
          <w:lang w:val="el-GR"/>
        </w:rPr>
        <w:t>.</w:t>
      </w:r>
      <w:r w:rsidRPr="006E4F23">
        <w:rPr>
          <w:rFonts w:ascii="Ping LCG Regular" w:hAnsi="Ping LCG Regular"/>
          <w:color w:val="000000"/>
          <w:sz w:val="22"/>
          <w:szCs w:val="22"/>
          <w:lang w:val="el-GR"/>
        </w:rPr>
        <w:t>Ε</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Τράπεζα</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Πειραιώς</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w:t>
      </w:r>
      <w:r w:rsidRPr="00B41864">
        <w:rPr>
          <w:rFonts w:ascii="Ping LCG Regular" w:hAnsi="Ping LCG Regular"/>
          <w:color w:val="000000"/>
          <w:sz w:val="22"/>
          <w:szCs w:val="22"/>
          <w:lang w:val="el-GR"/>
        </w:rPr>
        <w:t>.</w:t>
      </w:r>
      <w:r w:rsidRPr="006E4F23">
        <w:rPr>
          <w:rFonts w:ascii="Ping LCG Regular" w:hAnsi="Ping LCG Regular"/>
          <w:color w:val="000000"/>
          <w:sz w:val="22"/>
          <w:szCs w:val="22"/>
          <w:lang w:val="el-GR"/>
        </w:rPr>
        <w:t>Ε</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Ambrosia</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Capital</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Μονοπρόσωπη</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w:t>
      </w:r>
      <w:r w:rsidRPr="00B41864">
        <w:rPr>
          <w:rFonts w:ascii="Ping LCG Regular" w:hAnsi="Ping LCG Regular"/>
          <w:color w:val="000000"/>
          <w:sz w:val="22"/>
          <w:szCs w:val="22"/>
          <w:lang w:val="el-GR"/>
        </w:rPr>
        <w:t>.</w:t>
      </w:r>
      <w:r w:rsidRPr="006E4F23">
        <w:rPr>
          <w:rFonts w:ascii="Ping LCG Regular" w:hAnsi="Ping LCG Regular"/>
          <w:color w:val="000000"/>
          <w:sz w:val="22"/>
          <w:szCs w:val="22"/>
          <w:lang w:val="el-GR"/>
        </w:rPr>
        <w:t>Ε</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AXIA</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Ventures</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Group</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Limited</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και</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rPr>
        <w:t>Euroxx</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Χρηματιστηριακή</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ΑΕΠΕΥ</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ενεργούν</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από</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κοινού</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ως</w:t>
      </w:r>
      <w:r w:rsidRPr="00B41864">
        <w:rPr>
          <w:rFonts w:ascii="Ping LCG Regular" w:hAnsi="Ping LCG Regular"/>
          <w:color w:val="000000"/>
          <w:sz w:val="22"/>
          <w:szCs w:val="22"/>
          <w:lang w:val="el-GR"/>
        </w:rPr>
        <w:t xml:space="preserve"> </w:t>
      </w:r>
      <w:proofErr w:type="spellStart"/>
      <w:r w:rsidRPr="006E4F23">
        <w:rPr>
          <w:rFonts w:ascii="Ping LCG Regular" w:hAnsi="Ping LCG Regular"/>
          <w:color w:val="000000"/>
          <w:sz w:val="22"/>
          <w:szCs w:val="22"/>
          <w:lang w:val="el-GR"/>
        </w:rPr>
        <w:t>Συνδιαχειριστές</w:t>
      </w:r>
      <w:proofErr w:type="spellEnd"/>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του</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Βιβλίου</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Προσφορών</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σε</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σχέση</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με</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την</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Προσφορά</w:t>
      </w:r>
      <w:r w:rsidRPr="00B41864">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 xml:space="preserve">Το </w:t>
      </w:r>
      <w:proofErr w:type="spellStart"/>
      <w:r w:rsidRPr="006E4F23">
        <w:rPr>
          <w:rFonts w:ascii="Ping LCG Regular" w:hAnsi="Ping LCG Regular"/>
          <w:color w:val="000000"/>
          <w:sz w:val="22"/>
          <w:szCs w:val="22"/>
          <w:lang w:val="el-GR"/>
        </w:rPr>
        <w:t>roadshow</w:t>
      </w:r>
      <w:proofErr w:type="spellEnd"/>
      <w:r w:rsidRPr="006E4F23">
        <w:rPr>
          <w:rFonts w:ascii="Ping LCG Regular" w:hAnsi="Ping LCG Regular"/>
          <w:color w:val="000000"/>
          <w:sz w:val="22"/>
          <w:szCs w:val="22"/>
          <w:lang w:val="el-GR"/>
        </w:rPr>
        <w:t xml:space="preserve"> της Προσφοράς θα ξεκινήσει στις </w:t>
      </w:r>
      <w:r w:rsidR="00FF40D2">
        <w:rPr>
          <w:rFonts w:ascii="Ping LCG Regular" w:hAnsi="Ping LCG Regular"/>
          <w:color w:val="000000"/>
          <w:sz w:val="22"/>
          <w:szCs w:val="22"/>
          <w:lang w:val="el-GR"/>
        </w:rPr>
        <w:t xml:space="preserve">14 </w:t>
      </w:r>
      <w:r w:rsidRPr="006E4F23">
        <w:rPr>
          <w:rFonts w:ascii="Ping LCG Regular" w:hAnsi="Ping LCG Regular"/>
          <w:color w:val="000000"/>
          <w:sz w:val="22"/>
          <w:szCs w:val="22"/>
          <w:lang w:val="el-GR"/>
        </w:rPr>
        <w:t>Οκτωβρίου 202</w:t>
      </w:r>
      <w:r w:rsidR="00FF40D2">
        <w:rPr>
          <w:rFonts w:ascii="Ping LCG Regular" w:hAnsi="Ping LCG Regular"/>
          <w:color w:val="000000"/>
          <w:sz w:val="22"/>
          <w:szCs w:val="22"/>
          <w:lang w:val="el-GR"/>
        </w:rPr>
        <w:t>5</w:t>
      </w:r>
      <w:r w:rsidRPr="006E4F23">
        <w:rPr>
          <w:rFonts w:ascii="Ping LCG Regular" w:hAnsi="Ping LCG Regular"/>
          <w:color w:val="000000"/>
          <w:sz w:val="22"/>
          <w:szCs w:val="22"/>
          <w:lang w:val="el-GR"/>
        </w:rPr>
        <w:t xml:space="preserve">. </w:t>
      </w:r>
    </w:p>
    <w:p w14:paraId="17DBF4F7" w14:textId="77777777" w:rsidR="006E4F23" w:rsidRPr="00B41864" w:rsidRDefault="006E4F23" w:rsidP="006E4F23">
      <w:pPr>
        <w:tabs>
          <w:tab w:val="right" w:pos="8646"/>
        </w:tabs>
        <w:jc w:val="both"/>
        <w:rPr>
          <w:rFonts w:ascii="Ping LCG Regular" w:hAnsi="Ping LCG Regular"/>
          <w:color w:val="000000"/>
          <w:sz w:val="22"/>
          <w:szCs w:val="22"/>
          <w:lang w:val="el-GR"/>
        </w:rPr>
      </w:pPr>
    </w:p>
    <w:p w14:paraId="17C8AAB3" w14:textId="4D9961AA" w:rsidR="00635089" w:rsidRPr="006E4F23" w:rsidRDefault="00635089" w:rsidP="006E4F23">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lang w:val="el-GR"/>
        </w:rPr>
        <w:t>Η ΔΕΗ είναι η κορυφαία εταιρεία ηλεκτρικής ενέργειας της Νοτιοανατολικής Ευρώπης και φορέας υποδομών καίριας σημασίας, που δραστηριοποιείται κυρίως στην Ελλάδα και τη Ρουμανία. Για περισσότερα από 7</w:t>
      </w:r>
      <w:r w:rsidR="009A4FA9">
        <w:rPr>
          <w:rFonts w:ascii="Ping LCG Regular" w:hAnsi="Ping LCG Regular"/>
          <w:color w:val="000000"/>
          <w:sz w:val="22"/>
          <w:szCs w:val="22"/>
          <w:lang w:val="el-GR"/>
        </w:rPr>
        <w:t xml:space="preserve">5 </w:t>
      </w:r>
      <w:r w:rsidRPr="006E4F23">
        <w:rPr>
          <w:rFonts w:ascii="Ping LCG Regular" w:hAnsi="Ping LCG Regular"/>
          <w:color w:val="000000"/>
          <w:sz w:val="22"/>
          <w:szCs w:val="22"/>
          <w:lang w:val="el-GR"/>
        </w:rPr>
        <w:t xml:space="preserve">χρόνια, η ΔΕΗ είναι στην πρώτη γραμμή στην Ελλάδα στον τομέα της ενέργειας και αναπόσπαστο μέρος του </w:t>
      </w:r>
      <w:r w:rsidRPr="006E4F23">
        <w:rPr>
          <w:rFonts w:ascii="Ping LCG Regular" w:hAnsi="Ping LCG Regular"/>
          <w:color w:val="000000"/>
          <w:sz w:val="22"/>
          <w:szCs w:val="22"/>
          <w:lang w:val="el-GR"/>
        </w:rPr>
        <w:lastRenderedPageBreak/>
        <w:t xml:space="preserve">εξηλεκτρισμού της χώρας. </w:t>
      </w:r>
      <w:r w:rsidR="009A4FA9">
        <w:rPr>
          <w:rFonts w:ascii="Ping LCG Regular" w:hAnsi="Ping LCG Regular"/>
          <w:color w:val="000000"/>
          <w:sz w:val="22"/>
          <w:szCs w:val="22"/>
          <w:lang w:val="el-GR"/>
        </w:rPr>
        <w:t>Η ΔΕΗ ε</w:t>
      </w:r>
      <w:r w:rsidRPr="006E4F23">
        <w:rPr>
          <w:rFonts w:ascii="Ping LCG Regular" w:hAnsi="Ping LCG Regular"/>
          <w:color w:val="000000"/>
          <w:sz w:val="22"/>
          <w:szCs w:val="22"/>
          <w:lang w:val="el-GR"/>
        </w:rPr>
        <w:t xml:space="preserve">ίναι ο μεγαλύτερος παραγωγός και προμηθευτής ηλεκτρικής ενέργειας, </w:t>
      </w:r>
      <w:r w:rsidR="009A4FA9">
        <w:rPr>
          <w:rFonts w:ascii="Ping LCG Regular" w:hAnsi="Ping LCG Regular"/>
          <w:color w:val="000000"/>
          <w:sz w:val="22"/>
          <w:szCs w:val="22"/>
          <w:lang w:val="el-GR"/>
        </w:rPr>
        <w:t xml:space="preserve">εξυπηρετώντας </w:t>
      </w:r>
      <w:r w:rsidRPr="006E4F23">
        <w:rPr>
          <w:rFonts w:ascii="Ping LCG Regular" w:hAnsi="Ping LCG Regular"/>
          <w:color w:val="000000"/>
          <w:sz w:val="22"/>
          <w:szCs w:val="22"/>
          <w:lang w:val="el-GR"/>
        </w:rPr>
        <w:t>περίπου 5,</w:t>
      </w:r>
      <w:r w:rsidR="00FF40D2">
        <w:rPr>
          <w:rFonts w:ascii="Ping LCG Regular" w:hAnsi="Ping LCG Regular"/>
          <w:color w:val="000000"/>
          <w:sz w:val="22"/>
          <w:szCs w:val="22"/>
          <w:lang w:val="el-GR"/>
        </w:rPr>
        <w:t>5</w:t>
      </w:r>
      <w:r w:rsidRPr="006E4F23">
        <w:rPr>
          <w:rFonts w:ascii="Ping LCG Regular" w:hAnsi="Ping LCG Regular"/>
          <w:color w:val="000000"/>
          <w:sz w:val="22"/>
          <w:szCs w:val="22"/>
          <w:lang w:val="el-GR"/>
        </w:rPr>
        <w:t xml:space="preserve"> εκατομμύρια πελάτες </w:t>
      </w:r>
      <w:r w:rsidR="00462809">
        <w:rPr>
          <w:rFonts w:ascii="Ping LCG Regular" w:hAnsi="Ping LCG Regular"/>
          <w:color w:val="000000"/>
          <w:sz w:val="22"/>
          <w:szCs w:val="22"/>
          <w:lang w:val="el-GR"/>
        </w:rPr>
        <w:t>στις</w:t>
      </w:r>
      <w:r w:rsidRPr="006E4F23">
        <w:rPr>
          <w:rFonts w:ascii="Ping LCG Regular" w:hAnsi="Ping LCG Regular"/>
          <w:color w:val="000000"/>
          <w:sz w:val="22"/>
          <w:szCs w:val="22"/>
          <w:lang w:val="el-GR"/>
        </w:rPr>
        <w:t xml:space="preserve"> 30 Ιουνίου 202</w:t>
      </w:r>
      <w:r w:rsidR="00FF40D2">
        <w:rPr>
          <w:rFonts w:ascii="Ping LCG Regular" w:hAnsi="Ping LCG Regular"/>
          <w:color w:val="000000"/>
          <w:sz w:val="22"/>
          <w:szCs w:val="22"/>
          <w:lang w:val="el-GR"/>
        </w:rPr>
        <w:t>5</w:t>
      </w:r>
      <w:r w:rsidRPr="006E4F23">
        <w:rPr>
          <w:rFonts w:ascii="Ping LCG Regular" w:hAnsi="Ping LCG Regular"/>
          <w:color w:val="000000"/>
          <w:sz w:val="22"/>
          <w:szCs w:val="22"/>
          <w:lang w:val="el-GR"/>
        </w:rPr>
        <w:t xml:space="preserve">. Κατέχει επίσης το 51% του Διαχειριστή Ελληνικού Δικτύου Διανομής Ηλεκτρικής Ενέργειας Α.Ε., του μοναδικού ιδιοκτήτη και διαχειριστή του δικτύου διανομής ηλεκτρικής ενέργειας στη χώρα. Στη Ρουμανία, η ΔΕΗ είναι ο μεγαλύτερος προμηθευτής </w:t>
      </w:r>
      <w:r w:rsidR="00825BAD">
        <w:rPr>
          <w:rFonts w:ascii="Ping LCG Regular" w:hAnsi="Ping LCG Regular"/>
          <w:color w:val="000000"/>
          <w:sz w:val="22"/>
          <w:szCs w:val="22"/>
          <w:lang w:val="el-GR"/>
        </w:rPr>
        <w:t>ηλεκτρική</w:t>
      </w:r>
      <w:r w:rsidR="00BC2A53">
        <w:rPr>
          <w:rFonts w:ascii="Ping LCG Regular" w:hAnsi="Ping LCG Regular"/>
          <w:color w:val="000000"/>
          <w:sz w:val="22"/>
          <w:szCs w:val="22"/>
          <w:lang w:val="el-GR"/>
        </w:rPr>
        <w:t>ς</w:t>
      </w:r>
      <w:r w:rsidR="00825BAD">
        <w:rPr>
          <w:rFonts w:ascii="Ping LCG Regular" w:hAnsi="Ping LCG Regular"/>
          <w:color w:val="000000"/>
          <w:sz w:val="22"/>
          <w:szCs w:val="22"/>
          <w:lang w:val="el-GR"/>
        </w:rPr>
        <w:t xml:space="preserve"> </w:t>
      </w:r>
      <w:r w:rsidRPr="006E4F23">
        <w:rPr>
          <w:rFonts w:ascii="Ping LCG Regular" w:hAnsi="Ping LCG Regular"/>
          <w:color w:val="000000"/>
          <w:sz w:val="22"/>
          <w:szCs w:val="22"/>
          <w:lang w:val="el-GR"/>
        </w:rPr>
        <w:t xml:space="preserve">ενέργειας και ο μεγαλύτερος </w:t>
      </w:r>
      <w:r w:rsidR="00462809">
        <w:rPr>
          <w:rFonts w:ascii="Ping LCG Regular" w:hAnsi="Ping LCG Regular"/>
          <w:color w:val="000000"/>
          <w:sz w:val="22"/>
          <w:szCs w:val="22"/>
          <w:lang w:val="el-GR"/>
        </w:rPr>
        <w:t xml:space="preserve">παραγωγός </w:t>
      </w:r>
      <w:r w:rsidR="00CC7E73">
        <w:rPr>
          <w:rFonts w:ascii="Ping LCG Regular" w:hAnsi="Ping LCG Regular"/>
          <w:color w:val="000000"/>
          <w:sz w:val="22"/>
          <w:szCs w:val="22"/>
          <w:lang w:val="el-GR"/>
        </w:rPr>
        <w:t xml:space="preserve">ενέργειας από </w:t>
      </w:r>
      <w:r w:rsidR="00462809" w:rsidRPr="00462809">
        <w:rPr>
          <w:rFonts w:ascii="Ping LCG Regular" w:hAnsi="Ping LCG Regular"/>
          <w:color w:val="000000"/>
          <w:sz w:val="22"/>
          <w:szCs w:val="22"/>
          <w:lang w:val="el-GR"/>
        </w:rPr>
        <w:t>ανανεώσιμ</w:t>
      </w:r>
      <w:r w:rsidR="00CC7E73">
        <w:rPr>
          <w:rFonts w:ascii="Ping LCG Regular" w:hAnsi="Ping LCG Regular"/>
          <w:color w:val="000000"/>
          <w:sz w:val="22"/>
          <w:szCs w:val="22"/>
          <w:lang w:val="el-GR"/>
        </w:rPr>
        <w:t>ες</w:t>
      </w:r>
      <w:r w:rsidR="00462809" w:rsidRPr="00462809">
        <w:rPr>
          <w:rFonts w:ascii="Ping LCG Regular" w:hAnsi="Ping LCG Regular"/>
          <w:color w:val="000000"/>
          <w:sz w:val="22"/>
          <w:szCs w:val="22"/>
          <w:lang w:val="el-GR"/>
        </w:rPr>
        <w:t xml:space="preserve"> </w:t>
      </w:r>
      <w:r w:rsidR="00CC7E73">
        <w:rPr>
          <w:rFonts w:ascii="Ping LCG Regular" w:hAnsi="Ping LCG Regular"/>
          <w:color w:val="000000"/>
          <w:sz w:val="22"/>
          <w:szCs w:val="22"/>
          <w:lang w:val="el-GR"/>
        </w:rPr>
        <w:t>πηγές</w:t>
      </w:r>
      <w:r w:rsidR="00DD7183">
        <w:rPr>
          <w:rFonts w:ascii="Ping LCG Regular" w:hAnsi="Ping LCG Regular"/>
          <w:color w:val="000000"/>
          <w:sz w:val="22"/>
          <w:szCs w:val="22"/>
          <w:lang w:val="el-GR"/>
        </w:rPr>
        <w:t>,</w:t>
      </w:r>
      <w:r w:rsidRPr="00462809">
        <w:rPr>
          <w:rFonts w:ascii="Ping LCG Regular" w:hAnsi="Ping LCG Regular"/>
          <w:color w:val="000000"/>
          <w:sz w:val="22"/>
          <w:szCs w:val="22"/>
          <w:lang w:val="el-GR"/>
        </w:rPr>
        <w:t xml:space="preserve"> παρέχοντας</w:t>
      </w:r>
      <w:r w:rsidRPr="006E4F23">
        <w:rPr>
          <w:rFonts w:ascii="Ping LCG Regular" w:hAnsi="Ping LCG Regular"/>
          <w:color w:val="000000"/>
          <w:sz w:val="22"/>
          <w:szCs w:val="22"/>
          <w:lang w:val="el-GR"/>
        </w:rPr>
        <w:t xml:space="preserve"> </w:t>
      </w:r>
      <w:r w:rsidR="00462809">
        <w:rPr>
          <w:rFonts w:ascii="Ping LCG Regular" w:hAnsi="Ping LCG Regular"/>
          <w:color w:val="000000"/>
          <w:sz w:val="22"/>
          <w:szCs w:val="22"/>
          <w:lang w:val="el-GR"/>
        </w:rPr>
        <w:t xml:space="preserve"> ηλεκτρική </w:t>
      </w:r>
      <w:r w:rsidRPr="006E4F23">
        <w:rPr>
          <w:rFonts w:ascii="Ping LCG Regular" w:hAnsi="Ping LCG Regular"/>
          <w:color w:val="000000"/>
          <w:sz w:val="22"/>
          <w:szCs w:val="22"/>
          <w:lang w:val="el-GR"/>
        </w:rPr>
        <w:t xml:space="preserve">ενέργεια </w:t>
      </w:r>
      <w:r w:rsidR="00462809">
        <w:rPr>
          <w:rFonts w:ascii="Ping LCG Regular" w:hAnsi="Ping LCG Regular"/>
          <w:color w:val="000000"/>
          <w:sz w:val="22"/>
          <w:szCs w:val="22"/>
          <w:lang w:val="el-GR"/>
        </w:rPr>
        <w:t xml:space="preserve">και φυσικό αέριο </w:t>
      </w:r>
      <w:r w:rsidRPr="006E4F23">
        <w:rPr>
          <w:rFonts w:ascii="Ping LCG Regular" w:hAnsi="Ping LCG Regular"/>
          <w:color w:val="000000"/>
          <w:sz w:val="22"/>
          <w:szCs w:val="22"/>
          <w:lang w:val="el-GR"/>
        </w:rPr>
        <w:t xml:space="preserve">σε περίπου </w:t>
      </w:r>
      <w:r w:rsidR="00FF40D2">
        <w:rPr>
          <w:rFonts w:ascii="Ping LCG Regular" w:hAnsi="Ping LCG Regular"/>
          <w:color w:val="000000"/>
          <w:sz w:val="22"/>
          <w:szCs w:val="22"/>
          <w:lang w:val="el-GR"/>
        </w:rPr>
        <w:t>3,2</w:t>
      </w:r>
      <w:r w:rsidRPr="006E4F23">
        <w:rPr>
          <w:rFonts w:ascii="Ping LCG Regular" w:hAnsi="Ping LCG Regular"/>
          <w:color w:val="000000"/>
          <w:sz w:val="22"/>
          <w:szCs w:val="22"/>
          <w:lang w:val="el-GR"/>
        </w:rPr>
        <w:t xml:space="preserve"> εκατομμύρια πελάτες στις 30 Ιουνίου 202</w:t>
      </w:r>
      <w:r w:rsidR="00FF40D2">
        <w:rPr>
          <w:rFonts w:ascii="Ping LCG Regular" w:hAnsi="Ping LCG Regular"/>
          <w:color w:val="000000"/>
          <w:sz w:val="22"/>
          <w:szCs w:val="22"/>
          <w:lang w:val="el-GR"/>
        </w:rPr>
        <w:t>5</w:t>
      </w:r>
      <w:r w:rsidRPr="006E4F23">
        <w:rPr>
          <w:rFonts w:ascii="Ping LCG Regular" w:hAnsi="Ping LCG Regular"/>
          <w:color w:val="000000"/>
          <w:sz w:val="22"/>
          <w:szCs w:val="22"/>
          <w:lang w:val="el-GR"/>
        </w:rPr>
        <w:t>. Η ΔΕΗ είναι εισηγμένη εταιρεία και οι μετοχές της διαπραγματεύονται στην Κύρια Αγορά του Χρηματιστηρίου Αθηνών με κεφαλαιοποίηση περίπου €</w:t>
      </w:r>
      <w:r w:rsidR="00462809">
        <w:rPr>
          <w:rFonts w:ascii="Ping LCG Regular" w:hAnsi="Ping LCG Regular"/>
          <w:color w:val="000000"/>
          <w:sz w:val="22"/>
          <w:szCs w:val="22"/>
          <w:lang w:val="el-GR"/>
        </w:rPr>
        <w:t>5,1</w:t>
      </w:r>
      <w:r w:rsidRPr="006E4F23">
        <w:rPr>
          <w:rFonts w:ascii="Ping LCG Regular" w:hAnsi="Ping LCG Regular"/>
          <w:color w:val="000000"/>
          <w:sz w:val="22"/>
          <w:szCs w:val="22"/>
          <w:lang w:val="el-GR"/>
        </w:rPr>
        <w:t xml:space="preserve"> δισεκατομμυρίων στις 30 Ιουνίου 202</w:t>
      </w:r>
      <w:r w:rsidR="00462809">
        <w:rPr>
          <w:rFonts w:ascii="Ping LCG Regular" w:hAnsi="Ping LCG Regular"/>
          <w:color w:val="000000"/>
          <w:sz w:val="22"/>
          <w:szCs w:val="22"/>
          <w:lang w:val="el-GR"/>
        </w:rPr>
        <w:t>5</w:t>
      </w:r>
      <w:r w:rsidRPr="006E4F23">
        <w:rPr>
          <w:rFonts w:ascii="Ping LCG Regular" w:hAnsi="Ping LCG Regular"/>
          <w:color w:val="000000"/>
          <w:sz w:val="22"/>
          <w:szCs w:val="22"/>
          <w:lang w:val="el-GR"/>
        </w:rPr>
        <w:t>.</w:t>
      </w:r>
    </w:p>
    <w:p w14:paraId="08494C54" w14:textId="77777777" w:rsidR="00635089" w:rsidRPr="006E4F23" w:rsidRDefault="00635089" w:rsidP="006E4F23">
      <w:pPr>
        <w:tabs>
          <w:tab w:val="right" w:pos="8646"/>
        </w:tabs>
        <w:jc w:val="both"/>
        <w:rPr>
          <w:rFonts w:ascii="Ping LCG Regular" w:hAnsi="Ping LCG Regular"/>
          <w:color w:val="000000"/>
          <w:sz w:val="22"/>
          <w:szCs w:val="22"/>
          <w:lang w:val="el-GR"/>
        </w:rPr>
      </w:pPr>
    </w:p>
    <w:p w14:paraId="7F01E7F0" w14:textId="77777777" w:rsidR="00635089" w:rsidRPr="00534D42" w:rsidRDefault="00635089" w:rsidP="00534D42">
      <w:pPr>
        <w:tabs>
          <w:tab w:val="right" w:pos="8646"/>
        </w:tabs>
        <w:jc w:val="center"/>
        <w:rPr>
          <w:rFonts w:ascii="Ping LCG Regular" w:hAnsi="Ping LCG Regular"/>
          <w:b/>
          <w:bCs/>
          <w:color w:val="000000"/>
          <w:sz w:val="22"/>
          <w:szCs w:val="22"/>
          <w:lang w:val="el-GR"/>
        </w:rPr>
      </w:pPr>
      <w:r w:rsidRPr="00534D42">
        <w:rPr>
          <w:rFonts w:ascii="Ping LCG Regular" w:hAnsi="Ping LCG Regular"/>
          <w:b/>
          <w:bCs/>
          <w:color w:val="000000"/>
          <w:sz w:val="22"/>
          <w:szCs w:val="22"/>
          <w:lang w:val="el-GR"/>
        </w:rPr>
        <w:t>ΑΠΟΠΟΙΗΣΗ ΝΟΜΙΚΗΣ ΕΥΘΥΝΗΣ</w:t>
      </w:r>
    </w:p>
    <w:p w14:paraId="072BCF96" w14:textId="77777777" w:rsidR="00635089" w:rsidRPr="006E4F23" w:rsidRDefault="00635089" w:rsidP="006E4F23">
      <w:pPr>
        <w:tabs>
          <w:tab w:val="right" w:pos="8646"/>
        </w:tabs>
        <w:jc w:val="both"/>
        <w:rPr>
          <w:rFonts w:ascii="Ping LCG Regular" w:hAnsi="Ping LCG Regular"/>
          <w:color w:val="000000"/>
          <w:sz w:val="22"/>
          <w:szCs w:val="22"/>
          <w:lang w:val="el-GR"/>
        </w:rPr>
      </w:pPr>
    </w:p>
    <w:p w14:paraId="36C76876" w14:textId="6459FCC7" w:rsidR="00635089" w:rsidRPr="006E4F23" w:rsidRDefault="00635089" w:rsidP="006E4F23">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lang w:val="el-GR"/>
        </w:rPr>
        <w:t>ΣΗΜΕΙΩΣΗ: Η παρούσα ανακοίνωση εκδίδεται σύμφωνα με τις ισχύουσες διατάξεις, μεταξύ άλλων, του Κανονισμού (EΕ) 596/2014, του ν</w:t>
      </w:r>
      <w:r w:rsidR="00A92998">
        <w:rPr>
          <w:rFonts w:ascii="Ping LCG Regular" w:hAnsi="Ping LCG Regular"/>
          <w:color w:val="000000"/>
          <w:sz w:val="22"/>
          <w:szCs w:val="22"/>
          <w:lang w:val="el-GR"/>
        </w:rPr>
        <w:t>.</w:t>
      </w:r>
      <w:r w:rsidRPr="006E4F23">
        <w:rPr>
          <w:rFonts w:ascii="Ping LCG Regular" w:hAnsi="Ping LCG Regular"/>
          <w:color w:val="000000"/>
          <w:sz w:val="22"/>
          <w:szCs w:val="22"/>
          <w:lang w:val="el-GR"/>
        </w:rPr>
        <w:t xml:space="preserve"> 3556/2007 και του Κανονισμού του Χρηματιστηρίου Αθηνών, όπως έκαστος έχει τροποποιηθεί και ισχύει.</w:t>
      </w:r>
    </w:p>
    <w:p w14:paraId="6917EB77" w14:textId="77777777" w:rsidR="00534D42" w:rsidRPr="00B41864" w:rsidRDefault="00534D42" w:rsidP="006E4F23">
      <w:pPr>
        <w:tabs>
          <w:tab w:val="right" w:pos="8646"/>
        </w:tabs>
        <w:jc w:val="both"/>
        <w:rPr>
          <w:rFonts w:ascii="Ping LCG Regular" w:hAnsi="Ping LCG Regular"/>
          <w:color w:val="000000"/>
          <w:sz w:val="22"/>
          <w:szCs w:val="22"/>
          <w:lang w:val="el-GR"/>
        </w:rPr>
      </w:pPr>
    </w:p>
    <w:p w14:paraId="1AFF4ED6" w14:textId="6BD0887E" w:rsidR="00635089" w:rsidRPr="00462809" w:rsidRDefault="00635089" w:rsidP="006E4F23">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lang w:val="el-GR"/>
        </w:rPr>
        <w:t>ΟΙ ΟΜΟΛΟΓΙΕΣ ΘΑ ΕΙΝΑΙ ΔΙΑΘΕΣΙΜΕΣ ΜΟΝΟ ΣΕ ΜΗ ΑΜΕΡΙΚΑΝΟΥΣ ΕΠΕΝΔΥΤΕΣ ΠΟΥ ΤΙΣ ΑΓΟΡΑΖΟΥΝ ΕΚΤΟΣ ΤΩΝ ΗΝΩΜΕΝΩΝ ΠΟΛΙΤΕΙΩΝ ΑΜΕΡΙΚΗΣ ΣΕ ΥΠΕΡΑΚΤΙΕΣ ΣΥΝΑΛΛΑΓΕΣ ΒΑΣΙΖΟΜΕΝΟΙ ΣΤΟΝ ΚΑΝΟΝΙΣΜΟ S («REGULATION S») ΣΥΜΦΩΝΑ ΜΕ ΤΟ ΝΟΜΟ ΠΕΡΙ ΚΙΝΗΤΩΝ ΑΞΙΩΝ ΤΟΥ 1933 ΤΩΝ ΗΠΑ, ΟΠΩΣ ΕΧΕΙ ΤΡΟΠΟΠΟΙΗΘΕΙ («Ο ΝΟΜΟΣ ΠΕΡΙ ΚΙΝΗΤΩΝ ΑΞΙΩΝ</w:t>
      </w:r>
      <w:r w:rsidRPr="00822E1D">
        <w:rPr>
          <w:rFonts w:ascii="Ping LCG Regular" w:hAnsi="Ping LCG Regular"/>
          <w:color w:val="000000"/>
          <w:sz w:val="22"/>
          <w:szCs w:val="22"/>
          <w:lang w:val="el-GR"/>
        </w:rPr>
        <w:t>»)</w:t>
      </w:r>
      <w:r w:rsidR="00462809" w:rsidRPr="00822E1D">
        <w:rPr>
          <w:rFonts w:ascii="Ping LCG Regular" w:hAnsi="Ping LCG Regular"/>
          <w:color w:val="000000"/>
          <w:sz w:val="22"/>
          <w:szCs w:val="22"/>
          <w:lang w:val="el-GR"/>
        </w:rPr>
        <w:t>,</w:t>
      </w:r>
      <w:r w:rsidRPr="00822E1D">
        <w:rPr>
          <w:rFonts w:ascii="Ping LCG Regular" w:hAnsi="Ping LCG Regular"/>
          <w:color w:val="000000"/>
          <w:sz w:val="22"/>
          <w:szCs w:val="22"/>
          <w:lang w:val="el-GR"/>
        </w:rPr>
        <w:t xml:space="preserve"> </w:t>
      </w:r>
      <w:r w:rsidR="00462809" w:rsidRPr="00822E1D">
        <w:rPr>
          <w:rFonts w:ascii="Ping LCG Regular" w:hAnsi="Ping LCG Regular"/>
          <w:color w:val="000000"/>
          <w:sz w:val="22"/>
          <w:szCs w:val="22"/>
          <w:lang w:val="el-GR"/>
        </w:rPr>
        <w:t>(ΚΑΙ, ΕΑΝ ΟΙ ΕΠΕΝΔΥΤΕΣ ΕΙΝΑΙ ΚΑΤΟΙΚΟΙ ΚΡΑΤΟΥΣ-ΜΕΛΟΥΣ ΤΟΥ ΕΥΡΩΠΑΪΚΟΥ ΟΙΚΟΝΟΜΙΚΟΥ ΧΩΡΟΥ Ή ΤΟΥ ΗΝΩΜΕΝΟΥ ΒΑΣΙΛΕΙΟΥ, ΣΕ ΕΠΕΝΔΥΤΕΣ ΟΙ ΟΠΟΙΟΙ ΔΕΝ ΕΙΝΑΙ ΙΔΙΩΤΕΣ ΕΠΕΝΔΥΤΕΣ).</w:t>
      </w:r>
    </w:p>
    <w:p w14:paraId="4ECE8FDA" w14:textId="77777777" w:rsidR="005E76A1" w:rsidRPr="00462809" w:rsidRDefault="005E76A1" w:rsidP="006E4F23">
      <w:pPr>
        <w:tabs>
          <w:tab w:val="right" w:pos="8646"/>
        </w:tabs>
        <w:jc w:val="both"/>
        <w:rPr>
          <w:rFonts w:ascii="Ping LCG Regular" w:hAnsi="Ping LCG Regular"/>
          <w:color w:val="000000"/>
          <w:sz w:val="22"/>
          <w:szCs w:val="22"/>
          <w:lang w:val="el-GR"/>
        </w:rPr>
      </w:pPr>
    </w:p>
    <w:p w14:paraId="4F8024A9" w14:textId="77777777" w:rsidR="00635089" w:rsidRPr="006E4F23" w:rsidRDefault="00635089" w:rsidP="006E4F23">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lang w:val="el-GR"/>
        </w:rPr>
        <w:t>Η ΠΑΡΟΥΣΑ ΑΝΑΚΟΙΝΩΣΗ ΔΕΝ ΑΠΟΤΕΛΕΙ ΠΡΟΣΦΟΡΑ ΠΡΟΣ ΠΩΛΗΣΗ ΚΙΝΗΤΩΝ ΑΞΙΩΝ Ή ΠΡΟΣΚΛΗΣΗ ΓΙΑ ΠΡΟΣΦΟΡΑ ΑΓΟΡΑΣ ΚΙΝΗΤΩΝ ΑΞΙΩΝ ΣΤΙΣ ΗΝΩΜΕΝΕΣ ΠΟΛΙΤΕΙΕΣ Ή ΣΕ ΟΠΟΙΑΔΗΠΟΤΕ ΔΙΚΑΙΟΔΟΣΙΑ ΟΠΟΥ ΑΥΤΟ ΕΙΝΑΙ ΠΑΡΑΝΟΜΟ. ΟΙ ΟΜΟΛΟΓΙΕΣ ΔΕΝ ΕΧΟΥΝ ΚΑΤΑΧΩΡΙΣΤΕΙ ΟΥΤΕ ΘΑ ΚΑΤΑΧΩΡΙΣΤΟΥΝ ΣΥΜΦΩΝΑ ΜΕ ΤΙΣ ΔΙΑΤΑΞΕΙΣ ΤΟΥ ΝΟΜΟΥ ΠΕΡΙ ΚΙΝΗΤΩΝ ΑΞΙΩΝ Ή ΑΛΛΩΝ ΝΟΜΩΝ ΠΕΡΙ ΚΙΝΗΤΩΝ ΑΞΙΩΝ ΟΠΟΙΑΣΔΗΠΟΤΕ ΠΟΛΙΤΕΙΑΣ ΤΩΝ ΗΝΩΜΕΝΩΝ ΠΟΛΙΤΕΙΩΝ Ή ΟΠΟΙΑΣΔΗΠΟΤΕ ΑΛΛΗΣ ΔΙΚΑΙΟΔΟΣΙΑΣ, ΚΑΙ ΟΙ ΟΜΟΛΟΓΙΕΣ ΔΕΝ ΕΠΙΤΡΕΠΕΤΑΙ ΝΑ ΑΠΟΤΕΛΕΣΟΥΝ ΑΝΤΙΚΕΙΜΕΝΟ ΠΡΟΣΦΟΡΑΣ Ή ΠΩΛΗΣΗΣ ΣΤΙΣ ΗΝΩΜΕΝΕΣ ΠΟΛΙΤΕΙΕΣ.</w:t>
      </w:r>
    </w:p>
    <w:p w14:paraId="06446565" w14:textId="77777777" w:rsidR="00534D42" w:rsidRPr="00B41864" w:rsidRDefault="00534D42" w:rsidP="006E4F23">
      <w:pPr>
        <w:tabs>
          <w:tab w:val="right" w:pos="8646"/>
        </w:tabs>
        <w:jc w:val="both"/>
        <w:rPr>
          <w:rFonts w:ascii="Ping LCG Regular" w:hAnsi="Ping LCG Regular"/>
          <w:color w:val="000000"/>
          <w:sz w:val="22"/>
          <w:szCs w:val="22"/>
          <w:lang w:val="el-GR"/>
        </w:rPr>
      </w:pPr>
    </w:p>
    <w:p w14:paraId="59750299" w14:textId="7BBAD03D" w:rsidR="00534D42" w:rsidRDefault="00635089" w:rsidP="006E4F23">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lang w:val="el-GR"/>
        </w:rPr>
        <w:t xml:space="preserve">Η Προσφορά δεν διενεργείται, άμεσα ή έμμεσα, προς το ευρύ επενδυτικό κοινό στην Ελληνική Δημοκρατία (Ελλάδα). Τίποτα από τα αναφερόμενα σε αυτήν την ανακοίνωση και οποιοδήποτε άλλο έγγραφο ή υλικό που σχετίζεται με τις Ομολογίες που αναφέρονται στην παρούσα δεν αποτελεί «προσφορά κινητών αξιών στο κοινό» όπως ορίζεται στον Κανονισμό (ΕΕ) 2017/1129, όπως έχει τροποποιηθεί (ο «Κανονισμός Ενημερωτικού Δελτίου»), για την αγορά, πώληση ή ανταλλαγή ή με άλλο τρόπο επένδυση σε κινητές αξίες στην ελληνική επικράτεια. Κατά συνέπεια, ούτε αυτή η ανακοίνωση ούτε άλλα έγγραφα ή υλικό που σχετίζονται με τις Ομολογίες έχουν υποβληθεί ή θα υποβληθούν στην Επιτροπή Κεφαλαιαγοράς για έγκριση σύμφωνα με τον Κανονισμό Ενημερωτικού Δελτίου. </w:t>
      </w:r>
      <w:r w:rsidR="007356FD" w:rsidRPr="007356FD">
        <w:rPr>
          <w:rFonts w:ascii="Ping LCG Regular" w:hAnsi="Ping LCG Regular"/>
          <w:color w:val="000000"/>
          <w:sz w:val="22"/>
          <w:szCs w:val="22"/>
          <w:lang w:val="el-GR"/>
        </w:rPr>
        <w:t xml:space="preserve">Καμία προσφορά κινητών αξιών δεν θα πραγματοποιηθεί στην Ελλάδα παρά μόνο σύμφωνα με κάποια από τις εξαιρέσεις που προβλέπονται στον Κανονισμό για το Ενημερωτικό Δελτίο (Κανονισμός (ΕΕ) 2017/1129) και τον </w:t>
      </w:r>
      <w:r w:rsidR="007356FD">
        <w:rPr>
          <w:rFonts w:ascii="Ping LCG Regular" w:hAnsi="Ping LCG Regular"/>
          <w:color w:val="000000"/>
          <w:sz w:val="22"/>
          <w:szCs w:val="22"/>
          <w:lang w:val="el-GR"/>
        </w:rPr>
        <w:t>ν.</w:t>
      </w:r>
      <w:r w:rsidR="007356FD" w:rsidRPr="007356FD">
        <w:rPr>
          <w:rFonts w:ascii="Ping LCG Regular" w:hAnsi="Ping LCG Regular"/>
          <w:color w:val="000000"/>
          <w:sz w:val="22"/>
          <w:szCs w:val="22"/>
          <w:lang w:val="el-GR"/>
        </w:rPr>
        <w:t xml:space="preserve"> 4706/2020</w:t>
      </w:r>
      <w:r w:rsidR="007356FD">
        <w:rPr>
          <w:rFonts w:ascii="Ping LCG Regular" w:hAnsi="Ping LCG Regular"/>
          <w:color w:val="000000"/>
          <w:sz w:val="22"/>
          <w:szCs w:val="22"/>
          <w:lang w:val="el-GR"/>
        </w:rPr>
        <w:t>.</w:t>
      </w:r>
    </w:p>
    <w:p w14:paraId="3F15BDFD" w14:textId="77777777" w:rsidR="007356FD" w:rsidRPr="007356FD" w:rsidRDefault="007356FD" w:rsidP="006E4F23">
      <w:pPr>
        <w:tabs>
          <w:tab w:val="right" w:pos="8646"/>
        </w:tabs>
        <w:jc w:val="both"/>
        <w:rPr>
          <w:rFonts w:ascii="Ping LCG Regular" w:hAnsi="Ping LCG Regular"/>
          <w:color w:val="000000"/>
          <w:sz w:val="22"/>
          <w:szCs w:val="22"/>
          <w:lang w:val="el-GR"/>
        </w:rPr>
      </w:pPr>
    </w:p>
    <w:p w14:paraId="02F26212" w14:textId="07DEC3D7" w:rsidR="00635089" w:rsidRPr="006E4F23" w:rsidRDefault="00635089" w:rsidP="006E4F23">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lang w:val="el-GR"/>
        </w:rPr>
        <w:lastRenderedPageBreak/>
        <w:t>Η παρούσα ανακοίνωση δεν απευθύνεται σε ιδιώτες πελάτες στο Ηνωμένο Βασίλειο. Για τους σκοπούς αυτούς, ως ιδιώτης πελάτης νοείται ένα πρόσωπο που είναι ένα (ή περισσότερα) από τα ακόλουθα: (i) ιδιώτης πελάτης, όπως ορίζεται στο άρθρο 2 σημείο (8) του Κανονισμού (ΕΕ) αριθ. 2017/565, όπως αυτός έχει ενσωματωθεί στο εσωτερικό δίκαιο του Ηνωμένου Βασιλείου δυνάμει του Νόμου περί Ευρωπαϊκής Ένωσης (Αποχώρηση) του 2018 (ο «EUWA»), ή (</w:t>
      </w:r>
      <w:proofErr w:type="spellStart"/>
      <w:r w:rsidRPr="006E4F23">
        <w:rPr>
          <w:rFonts w:ascii="Ping LCG Regular" w:hAnsi="Ping LCG Regular"/>
          <w:color w:val="000000"/>
          <w:sz w:val="22"/>
          <w:szCs w:val="22"/>
          <w:lang w:val="el-GR"/>
        </w:rPr>
        <w:t>ii</w:t>
      </w:r>
      <w:proofErr w:type="spellEnd"/>
      <w:r w:rsidRPr="006E4F23">
        <w:rPr>
          <w:rFonts w:ascii="Ping LCG Regular" w:hAnsi="Ping LCG Regular"/>
          <w:color w:val="000000"/>
          <w:sz w:val="22"/>
          <w:szCs w:val="22"/>
          <w:lang w:val="el-GR"/>
        </w:rPr>
        <w:t>) πελάτη</w:t>
      </w:r>
      <w:r w:rsidR="00D70ADE">
        <w:rPr>
          <w:rFonts w:ascii="Ping LCG Regular" w:hAnsi="Ping LCG Regular"/>
          <w:color w:val="000000"/>
          <w:sz w:val="22"/>
          <w:szCs w:val="22"/>
          <w:lang w:val="el-GR"/>
        </w:rPr>
        <w:t xml:space="preserve">ς </w:t>
      </w:r>
      <w:r w:rsidRPr="006E4F23">
        <w:rPr>
          <w:rFonts w:ascii="Ping LCG Regular" w:hAnsi="Ping LCG Regular"/>
          <w:color w:val="000000"/>
          <w:sz w:val="22"/>
          <w:szCs w:val="22"/>
          <w:lang w:val="el-GR"/>
        </w:rPr>
        <w:t xml:space="preserve"> κατά την έννοια των διατάξεων του Νόμου περί Χρηματοπιστωτικών Υπηρεσιών και Αγορών του 2000 (</w:t>
      </w:r>
      <w:proofErr w:type="spellStart"/>
      <w:r w:rsidRPr="006E4F23">
        <w:rPr>
          <w:rFonts w:ascii="Ping LCG Regular" w:hAnsi="Ping LCG Regular"/>
          <w:color w:val="000000"/>
          <w:sz w:val="22"/>
          <w:szCs w:val="22"/>
          <w:lang w:val="el-GR"/>
        </w:rPr>
        <w:t>Financial</w:t>
      </w:r>
      <w:proofErr w:type="spellEnd"/>
      <w:r w:rsidRPr="006E4F23">
        <w:rPr>
          <w:rFonts w:ascii="Ping LCG Regular" w:hAnsi="Ping LCG Regular"/>
          <w:color w:val="000000"/>
          <w:sz w:val="22"/>
          <w:szCs w:val="22"/>
          <w:lang w:val="el-GR"/>
        </w:rPr>
        <w:t xml:space="preserve"> Services and Markets Act 2000 - «FSMA») και οποιωνδήποτε κανόνων ή κανονισμών που εκδίδονται δυνάμει του FSMA για την εφαρμογή της Οδηγίας (ΕΕ) 2016/97, όταν ο εν λόγω πελάτης δεν θα μπορούσε να χαρακτηριστεί επαγγελματίας πελάτης, όπως ορίζεται στο άρθρο 2 παράγραφος 1 σημείο 8 του Κανονισμού (ΕΕ) αριθ. 600/2014, όπως αυτός έχει ενσωματωθεί στο εσωτερικό δίκαιο δυνάμει του EUWA.</w:t>
      </w:r>
    </w:p>
    <w:p w14:paraId="6327479B" w14:textId="77777777" w:rsidR="00534D42" w:rsidRPr="00B41864" w:rsidRDefault="00534D42" w:rsidP="006E4F23">
      <w:pPr>
        <w:tabs>
          <w:tab w:val="right" w:pos="8646"/>
        </w:tabs>
        <w:jc w:val="both"/>
        <w:rPr>
          <w:rFonts w:ascii="Ping LCG Regular" w:hAnsi="Ping LCG Regular"/>
          <w:color w:val="000000"/>
          <w:sz w:val="22"/>
          <w:szCs w:val="22"/>
          <w:lang w:val="el-GR"/>
        </w:rPr>
      </w:pPr>
    </w:p>
    <w:p w14:paraId="27A8FD3F" w14:textId="78F17BCC" w:rsidR="00635089" w:rsidRPr="006E4F23" w:rsidRDefault="00635089" w:rsidP="006E4F23">
      <w:pPr>
        <w:tabs>
          <w:tab w:val="right" w:pos="8646"/>
        </w:tabs>
        <w:jc w:val="both"/>
        <w:rPr>
          <w:rFonts w:ascii="Ping LCG Regular" w:hAnsi="Ping LCG Regular"/>
          <w:color w:val="000000"/>
          <w:sz w:val="22"/>
          <w:szCs w:val="22"/>
          <w:lang w:val="el-GR"/>
        </w:rPr>
      </w:pPr>
      <w:r w:rsidRPr="006E4F23">
        <w:rPr>
          <w:rFonts w:ascii="Ping LCG Regular" w:hAnsi="Ping LCG Regular"/>
          <w:color w:val="000000"/>
          <w:sz w:val="22"/>
          <w:szCs w:val="22"/>
          <w:lang w:val="el-GR"/>
        </w:rPr>
        <w:t>Η παρούσα ανακοίνωση δεν διανέμεται, ούτε έχει εγκριθεί για τους σκοπούς της Ενότητας 21 του Νόμου FSMA από εξουσιοδοτημένο πρόσωπο βάσει του FSMA. Αυτό το έγγραφο προορίζεται για διανομή μόνο σε άτομα που (i) έχουν επαγγελματική εμπειρία σε θέματα που σχετίζονται με επενδύσεις (ως επαγγελματίες επενδύσεων που εμπίπτουν στο άρθρο 19 παράγραφο 5 του  Διατάγματος του 2005 δυνάμει του Νόμου περί Χρηματοοικονομικών Υπηρεσιών και Αγορών 2000, όπως τροποποιήθηκε (το «Διάταγμα Χρηματοοικονομικής Προώθησης»)), (</w:t>
      </w:r>
      <w:proofErr w:type="spellStart"/>
      <w:r w:rsidRPr="006E4F23">
        <w:rPr>
          <w:rFonts w:ascii="Ping LCG Regular" w:hAnsi="Ping LCG Regular"/>
          <w:color w:val="000000"/>
          <w:sz w:val="22"/>
          <w:szCs w:val="22"/>
          <w:lang w:val="el-GR"/>
        </w:rPr>
        <w:t>ii</w:t>
      </w:r>
      <w:proofErr w:type="spellEnd"/>
      <w:r w:rsidRPr="006E4F23">
        <w:rPr>
          <w:rFonts w:ascii="Ping LCG Regular" w:hAnsi="Ping LCG Regular"/>
          <w:color w:val="000000"/>
          <w:sz w:val="22"/>
          <w:szCs w:val="22"/>
          <w:lang w:val="el-GR"/>
        </w:rPr>
        <w:t>) είναι πρόσωπα που εμπίπτουν στο άρθρο 49 παράγραφος 2 στοιχεία (α) έως (δ) (εταιρείες υψηλής καθαρής αξίας, μη εταιρικές ενώσεις κ.λπ.) του Διατάγματος Χρηματοοικονομικής Προώθησης, ή (</w:t>
      </w:r>
      <w:proofErr w:type="spellStart"/>
      <w:r w:rsidRPr="006E4F23">
        <w:rPr>
          <w:rFonts w:ascii="Ping LCG Regular" w:hAnsi="Ping LCG Regular"/>
          <w:color w:val="000000"/>
          <w:sz w:val="22"/>
          <w:szCs w:val="22"/>
          <w:lang w:val="el-GR"/>
        </w:rPr>
        <w:t>iii</w:t>
      </w:r>
      <w:proofErr w:type="spellEnd"/>
      <w:r w:rsidRPr="006E4F23">
        <w:rPr>
          <w:rFonts w:ascii="Ping LCG Regular" w:hAnsi="Ping LCG Regular"/>
          <w:color w:val="000000"/>
          <w:sz w:val="22"/>
          <w:szCs w:val="22"/>
          <w:lang w:val="el-GR"/>
        </w:rPr>
        <w:t xml:space="preserve">) είναι πρόσωπα στα οποία μια πρόσκληση ή παρότρυνση να συμμετάσχουν σε επενδυτική δραστηριότητα κατά την έννοια της Ενότητας 21 του FSMA σε σχέση με την έκδοση ή πώληση οποιωνδήποτε κινητών αξιών μπορεί με οποιονδήποτε τρόπο να κοινοποιηθεί ή να προκληθεί κοινοποίηση νόμιμα ( τα άτομα αυτά μαζί αναφέρονται ως «σχετικά πρόσωπα»). Η παρούσα ανακοίνωση απευθύνεται μόνο σε σχετικά πρόσωπα και δεν πρέπει να γίνονται ενέργειες σχετικά με αυτή από, ούτε να βασίζονται σε αυτή, μη σχετικά πρόσωπα. Οποιαδήποτε επένδυση ή επενδυτική δραστηριότητα που σχετίζεται με τις Ομολογίες είναι διαθέσιμη μόνο σε σχετικά πρόσωπα και θα αφορά μόνο σε σχετικά πρόσωπα. </w:t>
      </w:r>
    </w:p>
    <w:p w14:paraId="24AC8360" w14:textId="77777777" w:rsidR="00534D42" w:rsidRPr="00B41864" w:rsidRDefault="00534D42" w:rsidP="006E4F23">
      <w:pPr>
        <w:tabs>
          <w:tab w:val="right" w:pos="8646"/>
        </w:tabs>
        <w:jc w:val="both"/>
        <w:rPr>
          <w:rFonts w:ascii="Ping LCG Regular" w:hAnsi="Ping LCG Regular"/>
          <w:color w:val="000000"/>
          <w:sz w:val="22"/>
          <w:szCs w:val="22"/>
          <w:lang w:val="el-GR"/>
        </w:rPr>
      </w:pPr>
    </w:p>
    <w:p w14:paraId="190826E9" w14:textId="15D0C73E" w:rsidR="00635089" w:rsidRPr="006E4F23" w:rsidRDefault="00635089" w:rsidP="006E4F23">
      <w:pPr>
        <w:tabs>
          <w:tab w:val="right" w:pos="8646"/>
        </w:tabs>
        <w:jc w:val="both"/>
        <w:rPr>
          <w:rFonts w:ascii="Ping LCG Regular" w:hAnsi="Ping LCG Regular"/>
          <w:color w:val="000000"/>
          <w:sz w:val="22"/>
          <w:szCs w:val="22"/>
          <w:lang w:val="el-GR"/>
        </w:rPr>
      </w:pPr>
      <w:r w:rsidRPr="00534D42">
        <w:rPr>
          <w:rFonts w:ascii="Ping LCG Regular" w:hAnsi="Ping LCG Regular"/>
          <w:b/>
          <w:bCs/>
          <w:color w:val="000000"/>
          <w:sz w:val="22"/>
          <w:szCs w:val="22"/>
          <w:lang w:val="el-GR"/>
        </w:rPr>
        <w:t>Παρακολούθηση προϊόντων MIFID II /</w:t>
      </w:r>
      <w:r w:rsidRPr="006E4F23">
        <w:rPr>
          <w:rFonts w:ascii="Ping LCG Regular" w:hAnsi="Ping LCG Regular"/>
          <w:color w:val="000000"/>
          <w:sz w:val="22"/>
          <w:szCs w:val="22"/>
          <w:lang w:val="el-GR"/>
        </w:rPr>
        <w:t xml:space="preserve"> </w:t>
      </w:r>
      <w:r w:rsidRPr="00F4229A">
        <w:rPr>
          <w:rFonts w:ascii="Ping LCG Regular" w:hAnsi="Ping LCG Regular"/>
          <w:b/>
          <w:bCs/>
          <w:color w:val="000000"/>
          <w:sz w:val="22"/>
          <w:szCs w:val="22"/>
          <w:lang w:val="el-GR"/>
        </w:rPr>
        <w:t>Αγορά στόχος είναι οι ιδιώτες πελάτες με χαρτοφυλάκια υψηλής καθαρής αξίας, οι επαγγελματίες πελάτες και οι επιλέξιμοι αντισυμβαλλόμενοι:</w:t>
      </w:r>
      <w:r w:rsidRPr="006E4F23">
        <w:rPr>
          <w:rFonts w:ascii="Ping LCG Regular" w:hAnsi="Ping LCG Regular"/>
          <w:color w:val="000000"/>
          <w:sz w:val="22"/>
          <w:szCs w:val="22"/>
          <w:lang w:val="el-GR"/>
        </w:rPr>
        <w:t xml:space="preserve"> αποκλειστικά για τους σκοπούς της διαδικασίας έγκρισης χρηματοοικονομικών προϊόντων κάθε κατασκευαστή, η αξιολόγηση της αγοράς στόχου όσον αφορά τις Ομολογίες έχει οδηγήσει στο συμπέρασμα ότι: (i) η αγορά στόχος για τις Ομολογίες είναι επιλέξιμοι αντισυμβαλλόμενοι και επαγγελματίες πελάτες (ο καθένας όπως ορίζεται στην Οδηγία 2014/65/ΕΕ  για τις αγορές χρηματοπιστωτικών μέσων (όπως έχει τροποποιηθεί, «</w:t>
      </w:r>
      <w:proofErr w:type="spellStart"/>
      <w:r w:rsidRPr="006E4F23">
        <w:rPr>
          <w:rFonts w:ascii="Ping LCG Regular" w:hAnsi="Ping LCG Regular"/>
          <w:color w:val="000000"/>
          <w:sz w:val="22"/>
          <w:szCs w:val="22"/>
          <w:lang w:val="el-GR"/>
        </w:rPr>
        <w:t>MiFID</w:t>
      </w:r>
      <w:proofErr w:type="spellEnd"/>
      <w:r w:rsidRPr="006E4F23">
        <w:rPr>
          <w:rFonts w:ascii="Ping LCG Regular" w:hAnsi="Ping LCG Regular"/>
          <w:color w:val="000000"/>
          <w:sz w:val="22"/>
          <w:szCs w:val="22"/>
          <w:lang w:val="el-GR"/>
        </w:rPr>
        <w:t xml:space="preserve"> II»)) και ιδιώτες πελάτες (όπως ορίζονται στην </w:t>
      </w:r>
      <w:proofErr w:type="spellStart"/>
      <w:r w:rsidRPr="006E4F23">
        <w:rPr>
          <w:rFonts w:ascii="Ping LCG Regular" w:hAnsi="Ping LCG Regular"/>
          <w:color w:val="000000"/>
          <w:sz w:val="22"/>
          <w:szCs w:val="22"/>
          <w:lang w:val="el-GR"/>
        </w:rPr>
        <w:t>MiFID</w:t>
      </w:r>
      <w:proofErr w:type="spellEnd"/>
      <w:r w:rsidRPr="006E4F23">
        <w:rPr>
          <w:rFonts w:ascii="Ping LCG Regular" w:hAnsi="Ping LCG Regular"/>
          <w:color w:val="000000"/>
          <w:sz w:val="22"/>
          <w:szCs w:val="22"/>
          <w:lang w:val="el-GR"/>
        </w:rPr>
        <w:t xml:space="preserve"> II) που είναι σε οικονομική κατάσταση ώστε να είναι σε θέση να ανεχθούν την απώλεια ολόκληρης της επένδυσής τους στις Ομολογίες, (</w:t>
      </w:r>
      <w:proofErr w:type="spellStart"/>
      <w:r w:rsidRPr="006E4F23">
        <w:rPr>
          <w:rFonts w:ascii="Ping LCG Regular" w:hAnsi="Ping LCG Regular"/>
          <w:color w:val="000000"/>
          <w:sz w:val="22"/>
          <w:szCs w:val="22"/>
          <w:lang w:val="el-GR"/>
        </w:rPr>
        <w:t>ii</w:t>
      </w:r>
      <w:proofErr w:type="spellEnd"/>
      <w:r w:rsidRPr="006E4F23">
        <w:rPr>
          <w:rFonts w:ascii="Ping LCG Regular" w:hAnsi="Ping LCG Regular"/>
          <w:color w:val="000000"/>
          <w:sz w:val="22"/>
          <w:szCs w:val="22"/>
          <w:lang w:val="el-GR"/>
        </w:rPr>
        <w:t>) όλα  τα κανάλια διανομής των Ομολογιών σε επιλέξιμους αντισυμβαλλομένους και επαγγελματίες πελάτες είναι κατάλληλα, και (</w:t>
      </w:r>
      <w:proofErr w:type="spellStart"/>
      <w:r w:rsidRPr="006E4F23">
        <w:rPr>
          <w:rFonts w:ascii="Ping LCG Regular" w:hAnsi="Ping LCG Regular"/>
          <w:color w:val="000000"/>
          <w:sz w:val="22"/>
          <w:szCs w:val="22"/>
          <w:lang w:val="el-GR"/>
        </w:rPr>
        <w:t>iii</w:t>
      </w:r>
      <w:proofErr w:type="spellEnd"/>
      <w:r w:rsidRPr="006E4F23">
        <w:rPr>
          <w:rFonts w:ascii="Ping LCG Regular" w:hAnsi="Ping LCG Regular"/>
          <w:color w:val="000000"/>
          <w:sz w:val="22"/>
          <w:szCs w:val="22"/>
          <w:lang w:val="el-GR"/>
        </w:rPr>
        <w:t xml:space="preserve">) τα ακόλουθα κανάλια διανομής των Ομολογιών στους εν λόγω ιδιώτες πελάτες είναι κατάλληλα – επενδυτικές συμβουλές, διαχείριση χαρτοφυλακίου, πωλήσεις χωρίς παροχή συμβουλών και αποκλειστικά υπηρεσίες εκτέλεσης </w:t>
      </w:r>
      <w:r w:rsidR="00D70ADE">
        <w:rPr>
          <w:rFonts w:ascii="Ping LCG Regular" w:hAnsi="Ping LCG Regular"/>
          <w:color w:val="000000"/>
          <w:sz w:val="22"/>
          <w:szCs w:val="22"/>
          <w:lang w:val="el-GR"/>
        </w:rPr>
        <w:t xml:space="preserve">εντολών </w:t>
      </w:r>
      <w:r w:rsidRPr="006E4F23">
        <w:rPr>
          <w:rFonts w:ascii="Ping LCG Regular" w:hAnsi="Ping LCG Regular"/>
          <w:color w:val="000000"/>
          <w:sz w:val="22"/>
          <w:szCs w:val="22"/>
          <w:lang w:val="el-GR"/>
        </w:rPr>
        <w:t xml:space="preserve">– υπό την αίρεση των υποχρεώσεων του διανομέα περί </w:t>
      </w:r>
      <w:proofErr w:type="spellStart"/>
      <w:r w:rsidRPr="006E4F23">
        <w:rPr>
          <w:rFonts w:ascii="Ping LCG Regular" w:hAnsi="Ping LCG Regular"/>
          <w:color w:val="000000"/>
          <w:sz w:val="22"/>
          <w:szCs w:val="22"/>
          <w:lang w:val="el-GR"/>
        </w:rPr>
        <w:t>καταλληλότητας</w:t>
      </w:r>
      <w:proofErr w:type="spellEnd"/>
      <w:r w:rsidRPr="006E4F23">
        <w:rPr>
          <w:rFonts w:ascii="Ping LCG Regular" w:hAnsi="Ping LCG Regular"/>
          <w:color w:val="000000"/>
          <w:sz w:val="22"/>
          <w:szCs w:val="22"/>
          <w:lang w:val="el-GR"/>
        </w:rPr>
        <w:t xml:space="preserve"> και συμβατότητας βάσει της </w:t>
      </w:r>
      <w:proofErr w:type="spellStart"/>
      <w:r w:rsidRPr="006E4F23">
        <w:rPr>
          <w:rFonts w:ascii="Ping LCG Regular" w:hAnsi="Ping LCG Regular"/>
          <w:color w:val="000000"/>
          <w:sz w:val="22"/>
          <w:szCs w:val="22"/>
          <w:lang w:val="el-GR"/>
        </w:rPr>
        <w:t>MiFID</w:t>
      </w:r>
      <w:proofErr w:type="spellEnd"/>
      <w:r w:rsidRPr="006E4F23">
        <w:rPr>
          <w:rFonts w:ascii="Ping LCG Regular" w:hAnsi="Ping LCG Regular"/>
          <w:color w:val="000000"/>
          <w:sz w:val="22"/>
          <w:szCs w:val="22"/>
          <w:lang w:val="el-GR"/>
        </w:rPr>
        <w:t xml:space="preserve"> II, όπως ισχύουν. Κάθε πρόσωπο που στη συνέχεια προσφέρει, </w:t>
      </w:r>
      <w:proofErr w:type="spellStart"/>
      <w:r w:rsidRPr="006E4F23">
        <w:rPr>
          <w:rFonts w:ascii="Ping LCG Regular" w:hAnsi="Ping LCG Regular"/>
          <w:color w:val="000000"/>
          <w:sz w:val="22"/>
          <w:szCs w:val="22"/>
          <w:lang w:val="el-GR"/>
        </w:rPr>
        <w:lastRenderedPageBreak/>
        <w:t>πωλεί</w:t>
      </w:r>
      <w:proofErr w:type="spellEnd"/>
      <w:r w:rsidRPr="006E4F23">
        <w:rPr>
          <w:rFonts w:ascii="Ping LCG Regular" w:hAnsi="Ping LCG Regular"/>
          <w:color w:val="000000"/>
          <w:sz w:val="22"/>
          <w:szCs w:val="22"/>
          <w:lang w:val="el-GR"/>
        </w:rPr>
        <w:t xml:space="preserve"> ή συστήνει τις Ομολογίες («διανομέας») θα πρέπει να λαμβάνει υπόψη την αξιολόγηση της αγοράς στόχου του κατασκευαστή. Ωστόσο, ένας διανομέας που υπόκειται στη </w:t>
      </w:r>
      <w:proofErr w:type="spellStart"/>
      <w:r w:rsidRPr="006E4F23">
        <w:rPr>
          <w:rFonts w:ascii="Ping LCG Regular" w:hAnsi="Ping LCG Regular"/>
          <w:color w:val="000000"/>
          <w:sz w:val="22"/>
          <w:szCs w:val="22"/>
          <w:lang w:val="el-GR"/>
        </w:rPr>
        <w:t>MiFID</w:t>
      </w:r>
      <w:proofErr w:type="spellEnd"/>
      <w:r w:rsidRPr="006E4F23">
        <w:rPr>
          <w:rFonts w:ascii="Ping LCG Regular" w:hAnsi="Ping LCG Regular"/>
          <w:color w:val="000000"/>
          <w:sz w:val="22"/>
          <w:szCs w:val="22"/>
          <w:lang w:val="el-GR"/>
        </w:rPr>
        <w:t xml:space="preserve"> II είναι υπεύθυνος για τη διενέργεια της δικής του αξιολόγησης της αγοράς στόχου σχετικά με τις Ομολογίες (είτε υιοθετώντας είτε επαναπροσδιορίζοντας την αξιολόγηση της αγοράς στόχου του κατασκευαστή) και για τον καθορισμό των κατάλληλων καναλιών διανομής, υπό την αίρεση των υποχρεώσεων του διανομέα περί </w:t>
      </w:r>
      <w:proofErr w:type="spellStart"/>
      <w:r w:rsidRPr="006E4F23">
        <w:rPr>
          <w:rFonts w:ascii="Ping LCG Regular" w:hAnsi="Ping LCG Regular"/>
          <w:color w:val="000000"/>
          <w:sz w:val="22"/>
          <w:szCs w:val="22"/>
          <w:lang w:val="el-GR"/>
        </w:rPr>
        <w:t>καταλληλότητας</w:t>
      </w:r>
      <w:proofErr w:type="spellEnd"/>
      <w:r w:rsidRPr="006E4F23">
        <w:rPr>
          <w:rFonts w:ascii="Ping LCG Regular" w:hAnsi="Ping LCG Regular"/>
          <w:color w:val="000000"/>
          <w:sz w:val="22"/>
          <w:szCs w:val="22"/>
          <w:lang w:val="el-GR"/>
        </w:rPr>
        <w:t xml:space="preserve"> και συμβατότητας σύμφωνα με τη </w:t>
      </w:r>
      <w:proofErr w:type="spellStart"/>
      <w:r w:rsidRPr="006E4F23">
        <w:rPr>
          <w:rFonts w:ascii="Ping LCG Regular" w:hAnsi="Ping LCG Regular"/>
          <w:color w:val="000000"/>
          <w:sz w:val="22"/>
          <w:szCs w:val="22"/>
          <w:lang w:val="el-GR"/>
        </w:rPr>
        <w:t>MiFID</w:t>
      </w:r>
      <w:proofErr w:type="spellEnd"/>
      <w:r w:rsidRPr="006E4F23">
        <w:rPr>
          <w:rFonts w:ascii="Ping LCG Regular" w:hAnsi="Ping LCG Regular"/>
          <w:color w:val="000000"/>
          <w:sz w:val="22"/>
          <w:szCs w:val="22"/>
          <w:lang w:val="el-GR"/>
        </w:rPr>
        <w:t xml:space="preserve"> II. Παρά την αξιολόγηση της αγοράς στόχου, οι διανομείς θα πρέπει να σημειώσουν ότι: (i) η τιμή των Ομολογιών ενδέχεται να μειωθεί και οι επενδυτές ενδέχεται να χάσουν το σύνολο ή μέρος της επένδυσής τους, (</w:t>
      </w:r>
      <w:proofErr w:type="spellStart"/>
      <w:r w:rsidRPr="006E4F23">
        <w:rPr>
          <w:rFonts w:ascii="Ping LCG Regular" w:hAnsi="Ping LCG Regular"/>
          <w:color w:val="000000"/>
          <w:sz w:val="22"/>
          <w:szCs w:val="22"/>
          <w:lang w:val="el-GR"/>
        </w:rPr>
        <w:t>ii</w:t>
      </w:r>
      <w:proofErr w:type="spellEnd"/>
      <w:r w:rsidRPr="006E4F23">
        <w:rPr>
          <w:rFonts w:ascii="Ping LCG Regular" w:hAnsi="Ping LCG Regular"/>
          <w:color w:val="000000"/>
          <w:sz w:val="22"/>
          <w:szCs w:val="22"/>
          <w:lang w:val="el-GR"/>
        </w:rPr>
        <w:t>) οι Ομολογίες δεν προσφέρουν εγγυημένο εισόδημα και καμία προστασία κεφαλαίου και (</w:t>
      </w:r>
      <w:proofErr w:type="spellStart"/>
      <w:r w:rsidRPr="006E4F23">
        <w:rPr>
          <w:rFonts w:ascii="Ping LCG Regular" w:hAnsi="Ping LCG Regular"/>
          <w:color w:val="000000"/>
          <w:sz w:val="22"/>
          <w:szCs w:val="22"/>
          <w:lang w:val="el-GR"/>
        </w:rPr>
        <w:t>iii</w:t>
      </w:r>
      <w:proofErr w:type="spellEnd"/>
      <w:r w:rsidRPr="006E4F23">
        <w:rPr>
          <w:rFonts w:ascii="Ping LCG Regular" w:hAnsi="Ping LCG Regular"/>
          <w:color w:val="000000"/>
          <w:sz w:val="22"/>
          <w:szCs w:val="22"/>
          <w:lang w:val="el-GR"/>
        </w:rPr>
        <w:t xml:space="preserve">) η επένδυση στις Ομολογίες είναι συμβατή μόνο με επενδυτές που δεν χρειάζονται εγγυημένο εισόδημα ή προστασία κεφαλαίου, οι οποίοι (είτε μόνοι τους είτε με κατάλληλο χρηματοοικονομικό ή άλλο σύμβουλο) είναι σε θέση να αξιολογήσουν τα πλεονεκτήματα και τους κινδύνους μιας τέτοιας επένδυσης και οι οποίοι διαθέτουν επαρκείς πόρους για να είναι σε θέση να ανεχθούν οποιεσδήποτε  ζημίες τυχόν να προκύψουν από αυτήν. Η αξιολόγηση της αγοράς στόχου δεν θίγει τις απαιτήσεις οποιωνδήποτε συμβατικών, νομικών ή κανονιστικών περιορισμών πώλησης σε σχέση με την Προσφορά. Προς αποφυγή αμφιβολιών, η αξιολόγηση της αγοράς στόχου δεν συνιστά: (α) αξιολόγηση </w:t>
      </w:r>
      <w:proofErr w:type="spellStart"/>
      <w:r w:rsidRPr="006E4F23">
        <w:rPr>
          <w:rFonts w:ascii="Ping LCG Regular" w:hAnsi="Ping LCG Regular"/>
          <w:color w:val="000000"/>
          <w:sz w:val="22"/>
          <w:szCs w:val="22"/>
          <w:lang w:val="el-GR"/>
        </w:rPr>
        <w:t>καταλληλότητας</w:t>
      </w:r>
      <w:proofErr w:type="spellEnd"/>
      <w:r w:rsidRPr="006E4F23">
        <w:rPr>
          <w:rFonts w:ascii="Ping LCG Regular" w:hAnsi="Ping LCG Regular"/>
          <w:color w:val="000000"/>
          <w:sz w:val="22"/>
          <w:szCs w:val="22"/>
          <w:lang w:val="el-GR"/>
        </w:rPr>
        <w:t xml:space="preserve"> ή συμβατότητας για τους σκοπούς της </w:t>
      </w:r>
      <w:proofErr w:type="spellStart"/>
      <w:r w:rsidRPr="006E4F23">
        <w:rPr>
          <w:rFonts w:ascii="Ping LCG Regular" w:hAnsi="Ping LCG Regular"/>
          <w:color w:val="000000"/>
          <w:sz w:val="22"/>
          <w:szCs w:val="22"/>
          <w:lang w:val="el-GR"/>
        </w:rPr>
        <w:t>MiFID</w:t>
      </w:r>
      <w:proofErr w:type="spellEnd"/>
      <w:r w:rsidRPr="006E4F23">
        <w:rPr>
          <w:rFonts w:ascii="Ping LCG Regular" w:hAnsi="Ping LCG Regular"/>
          <w:color w:val="000000"/>
          <w:sz w:val="22"/>
          <w:szCs w:val="22"/>
          <w:lang w:val="el-GR"/>
        </w:rPr>
        <w:t xml:space="preserve"> II ή (β) σύσταση προς οποιονδήποτε επενδυτή ή ομάδα επενδυτών να επενδύσει ή να αγοράσει ή να προβεί σε οποιαδήποτε άλλη ενέργεια σε σχέση με τις Ομολογίες. </w:t>
      </w:r>
    </w:p>
    <w:p w14:paraId="2F5F9C93" w14:textId="77777777" w:rsidR="00F4229A" w:rsidRPr="00B41864" w:rsidRDefault="00F4229A" w:rsidP="006E4F23">
      <w:pPr>
        <w:tabs>
          <w:tab w:val="right" w:pos="8646"/>
        </w:tabs>
        <w:jc w:val="both"/>
        <w:rPr>
          <w:rFonts w:ascii="Ping LCG Regular" w:hAnsi="Ping LCG Regular"/>
          <w:color w:val="000000"/>
          <w:sz w:val="22"/>
          <w:szCs w:val="22"/>
          <w:lang w:val="el-GR"/>
        </w:rPr>
      </w:pPr>
    </w:p>
    <w:p w14:paraId="68C98059" w14:textId="282505E3" w:rsidR="00635089" w:rsidRPr="006E4F23" w:rsidRDefault="00635089" w:rsidP="006E4F23">
      <w:pPr>
        <w:tabs>
          <w:tab w:val="right" w:pos="8646"/>
        </w:tabs>
        <w:jc w:val="both"/>
        <w:rPr>
          <w:rFonts w:ascii="Ping LCG Regular" w:hAnsi="Ping LCG Regular"/>
          <w:color w:val="000000"/>
          <w:sz w:val="22"/>
          <w:szCs w:val="22"/>
          <w:lang w:val="el-GR"/>
        </w:rPr>
      </w:pPr>
      <w:r w:rsidRPr="00F4229A">
        <w:rPr>
          <w:rFonts w:ascii="Ping LCG Regular" w:hAnsi="Ping LCG Regular"/>
          <w:b/>
          <w:bCs/>
          <w:color w:val="000000"/>
          <w:sz w:val="22"/>
          <w:szCs w:val="22"/>
          <w:lang w:val="el-GR"/>
        </w:rPr>
        <w:t>UK MIFIR παρακολούθηση προϊόντος / Αγορά στόχος μόνο για επαγγελματίες πελάτες και επιλέξιμους αντισυμβαλλόμενους:</w:t>
      </w:r>
      <w:r w:rsidRPr="006E4F23">
        <w:rPr>
          <w:rFonts w:ascii="Ping LCG Regular" w:hAnsi="Ping LCG Regular"/>
          <w:color w:val="000000"/>
          <w:sz w:val="22"/>
          <w:szCs w:val="22"/>
          <w:lang w:val="el-GR"/>
        </w:rPr>
        <w:t xml:space="preserve"> Αποκλειστικά για τους σκοπούς της διαδικασίας έγκρισης κάθε χρηματοοικονομικού προϊόντος που κατασκευάζεται, η αξιολόγηση της αγοράς στόχου αναφορικά με τις Ομολογίες έχει καταλήξει στο συμπέρασμα ότι: (i) η αγορά στόχος για τις Ομολογίες είναι μόνο επιλέξιμοι αντισυμβαλλόμενοι, όπως ορίζεται στο Εγχειρίδιο FCA </w:t>
      </w:r>
      <w:proofErr w:type="spellStart"/>
      <w:r w:rsidRPr="006E4F23">
        <w:rPr>
          <w:rFonts w:ascii="Ping LCG Regular" w:hAnsi="Ping LCG Regular"/>
          <w:color w:val="000000"/>
          <w:sz w:val="22"/>
          <w:szCs w:val="22"/>
          <w:lang w:val="el-GR"/>
        </w:rPr>
        <w:t>Conduct</w:t>
      </w:r>
      <w:proofErr w:type="spellEnd"/>
      <w:r w:rsidRPr="006E4F23">
        <w:rPr>
          <w:rFonts w:ascii="Ping LCG Regular" w:hAnsi="Ping LCG Regular"/>
          <w:color w:val="000000"/>
          <w:sz w:val="22"/>
          <w:szCs w:val="22"/>
          <w:lang w:val="el-GR"/>
        </w:rPr>
        <w:t xml:space="preserve"> of </w:t>
      </w:r>
      <w:proofErr w:type="spellStart"/>
      <w:r w:rsidRPr="006E4F23">
        <w:rPr>
          <w:rFonts w:ascii="Ping LCG Regular" w:hAnsi="Ping LCG Regular"/>
          <w:color w:val="000000"/>
          <w:sz w:val="22"/>
          <w:szCs w:val="22"/>
          <w:lang w:val="el-GR"/>
        </w:rPr>
        <w:t>Business</w:t>
      </w:r>
      <w:proofErr w:type="spellEnd"/>
      <w:r w:rsidRPr="006E4F23">
        <w:rPr>
          <w:rFonts w:ascii="Ping LCG Regular" w:hAnsi="Ping LCG Regular"/>
          <w:color w:val="000000"/>
          <w:sz w:val="22"/>
          <w:szCs w:val="22"/>
          <w:lang w:val="el-GR"/>
        </w:rPr>
        <w:t xml:space="preserve"> </w:t>
      </w:r>
      <w:proofErr w:type="spellStart"/>
      <w:r w:rsidRPr="006E4F23">
        <w:rPr>
          <w:rFonts w:ascii="Ping LCG Regular" w:hAnsi="Ping LCG Regular"/>
          <w:color w:val="000000"/>
          <w:sz w:val="22"/>
          <w:szCs w:val="22"/>
          <w:lang w:val="el-GR"/>
        </w:rPr>
        <w:t>Sourcebook</w:t>
      </w:r>
      <w:proofErr w:type="spellEnd"/>
      <w:r w:rsidRPr="006E4F23">
        <w:rPr>
          <w:rFonts w:ascii="Ping LCG Regular" w:hAnsi="Ping LCG Regular"/>
          <w:color w:val="000000"/>
          <w:sz w:val="22"/>
          <w:szCs w:val="22"/>
          <w:lang w:val="el-GR"/>
        </w:rPr>
        <w:t xml:space="preserve"> (το «COBS»), και επαγγελματίες πελάτες, όπως ορίζονται στον Κανονισμό (ΕΕ) αριθ. 600/2014, όπως αυτός έχει ενσωματωθεί στο εσωτερικό δίκαιο δυνάμει του EUWA («UK </w:t>
      </w:r>
      <w:proofErr w:type="spellStart"/>
      <w:r w:rsidRPr="006E4F23">
        <w:rPr>
          <w:rFonts w:ascii="Ping LCG Regular" w:hAnsi="Ping LCG Regular"/>
          <w:color w:val="000000"/>
          <w:sz w:val="22"/>
          <w:szCs w:val="22"/>
          <w:lang w:val="el-GR"/>
        </w:rPr>
        <w:t>MiFIR</w:t>
      </w:r>
      <w:proofErr w:type="spellEnd"/>
      <w:r w:rsidRPr="006E4F23">
        <w:rPr>
          <w:rFonts w:ascii="Ping LCG Regular" w:hAnsi="Ping LCG Regular"/>
          <w:color w:val="000000"/>
          <w:sz w:val="22"/>
          <w:szCs w:val="22"/>
          <w:lang w:val="el-GR"/>
        </w:rPr>
        <w:t>»), και (</w:t>
      </w:r>
      <w:proofErr w:type="spellStart"/>
      <w:r w:rsidRPr="006E4F23">
        <w:rPr>
          <w:rFonts w:ascii="Ping LCG Regular" w:hAnsi="Ping LCG Regular"/>
          <w:color w:val="000000"/>
          <w:sz w:val="22"/>
          <w:szCs w:val="22"/>
          <w:lang w:val="el-GR"/>
        </w:rPr>
        <w:t>ii</w:t>
      </w:r>
      <w:proofErr w:type="spellEnd"/>
      <w:r w:rsidRPr="006E4F23">
        <w:rPr>
          <w:rFonts w:ascii="Ping LCG Regular" w:hAnsi="Ping LCG Regular"/>
          <w:color w:val="000000"/>
          <w:sz w:val="22"/>
          <w:szCs w:val="22"/>
          <w:lang w:val="el-GR"/>
        </w:rPr>
        <w:t xml:space="preserve">) όλα τα κανάλια διανομής των Ομολογιών σε επιλέξιμους αντισυμβαλλόμενους και επαγγελματίες πελάτες είναι κατάλληλα. Οποιοδήποτε πρόσωπο εν συνεχεία προσφέρει, </w:t>
      </w:r>
      <w:proofErr w:type="spellStart"/>
      <w:r w:rsidRPr="006E4F23">
        <w:rPr>
          <w:rFonts w:ascii="Ping LCG Regular" w:hAnsi="Ping LCG Regular"/>
          <w:color w:val="000000"/>
          <w:sz w:val="22"/>
          <w:szCs w:val="22"/>
          <w:lang w:val="el-GR"/>
        </w:rPr>
        <w:t>πωλεί</w:t>
      </w:r>
      <w:proofErr w:type="spellEnd"/>
      <w:r w:rsidRPr="006E4F23">
        <w:rPr>
          <w:rFonts w:ascii="Ping LCG Regular" w:hAnsi="Ping LCG Regular"/>
          <w:color w:val="000000"/>
          <w:sz w:val="22"/>
          <w:szCs w:val="22"/>
          <w:lang w:val="el-GR"/>
        </w:rPr>
        <w:t xml:space="preserve"> ή συστήνει τις Ομολογίες (ο «UK διανομέας») θα πρέπει να λαμβάνει υπόψη του την εκτίμηση της αγοράς στόχου των UK Κατασκευαστών. Ωστόσο, ο UK διανομέας που υπόκειται στους Κανόνες Παρακολούθησης Προϊόντος του UK </w:t>
      </w:r>
      <w:proofErr w:type="spellStart"/>
      <w:r w:rsidRPr="006E4F23">
        <w:rPr>
          <w:rFonts w:ascii="Ping LCG Regular" w:hAnsi="Ping LCG Regular"/>
          <w:color w:val="000000"/>
          <w:sz w:val="22"/>
          <w:szCs w:val="22"/>
          <w:lang w:val="el-GR"/>
        </w:rPr>
        <w:t>MiFIR</w:t>
      </w:r>
      <w:proofErr w:type="spellEnd"/>
      <w:r w:rsidRPr="006E4F23">
        <w:rPr>
          <w:rFonts w:ascii="Ping LCG Regular" w:hAnsi="Ping LCG Regular"/>
          <w:color w:val="000000"/>
          <w:sz w:val="22"/>
          <w:szCs w:val="22"/>
          <w:lang w:val="el-GR"/>
        </w:rPr>
        <w:t xml:space="preserve"> είναι υπεύθυνος για τη διενέργεια από πλευράς του της αξιολόγησης της αγοράς στόχου για τις Ομολογίες (είτε υιοθετώντας είτε επαναπροσδιορίζοντας την αξιολόγηση της αγοράς στόχου των UK Κατασκευαστών) και του καθορισμού των κατάλληλων καναλιών διανομής. Παρά την αξιολόγηση της αγοράς στόχου, οι διανομείς θα πρέπει να σημειώσουν ότι: (α) η τιμή των Ομολογιών μπορεί να μειωθεί και οι επενδυτές ενδέχεται να χάσουν το σύνολο ή μέρος της επένδυσής τους, (β) οι Ομολογίες δεν προσφέρουν εγγυημένο εισόδημα και καμία προστασία κεφαλαίου και (γ) η επένδυση στις Ομολογίες είναι συμβατή μόνο με επενδυτές που δεν χρειάζονται εγγυημένο εισόδημα ή προστασία κεφαλαίου, οι οποίοι (είτε μόνοι τους είτε με κατάλληλο χρηματοοικονομικό ή άλλο σύμβουλο) είναι σε θέση να αξιολογήσουν τα πλεονεκτήματα και τους κινδύνους μιας τέτοιας επένδυσης και οι οποίοι διαθέτουν επαρκείς πόρους ώστε να είναι σε θέση να ανεχθούν οποιεσδήποτε ζημίες τυχόν προκύψουν από αυτήν. Η αξιολόγηση της αγοράς στόχου δεν θίγει τις απαιτήσεις </w:t>
      </w:r>
      <w:r w:rsidRPr="006E4F23">
        <w:rPr>
          <w:rFonts w:ascii="Ping LCG Regular" w:hAnsi="Ping LCG Regular"/>
          <w:color w:val="000000"/>
          <w:sz w:val="22"/>
          <w:szCs w:val="22"/>
          <w:lang w:val="el-GR"/>
        </w:rPr>
        <w:lastRenderedPageBreak/>
        <w:t xml:space="preserve">οποιωνδήποτε συμβατικών, νομικών ή κανονιστικών περιορισμών πώλησης σε σχέση με την Προσφορά. Προς αποφυγή αμφιβολιών, η αξιολόγηση της αγοράς στόχου σύμφωνα με τους Κανόνες Διακυβέρνησης Προϊόντων UK </w:t>
      </w:r>
      <w:proofErr w:type="spellStart"/>
      <w:r w:rsidRPr="006E4F23">
        <w:rPr>
          <w:rFonts w:ascii="Ping LCG Regular" w:hAnsi="Ping LCG Regular"/>
          <w:color w:val="000000"/>
          <w:sz w:val="22"/>
          <w:szCs w:val="22"/>
          <w:lang w:val="el-GR"/>
        </w:rPr>
        <w:t>MiFIR</w:t>
      </w:r>
      <w:proofErr w:type="spellEnd"/>
      <w:r w:rsidRPr="006E4F23">
        <w:rPr>
          <w:rFonts w:ascii="Ping LCG Regular" w:hAnsi="Ping LCG Regular"/>
          <w:color w:val="000000"/>
          <w:sz w:val="22"/>
          <w:szCs w:val="22"/>
          <w:lang w:val="el-GR"/>
        </w:rPr>
        <w:t xml:space="preserve"> δεν συνιστά: (α) αξιολόγηση της </w:t>
      </w:r>
      <w:proofErr w:type="spellStart"/>
      <w:r w:rsidRPr="006E4F23">
        <w:rPr>
          <w:rFonts w:ascii="Ping LCG Regular" w:hAnsi="Ping LCG Regular"/>
          <w:color w:val="000000"/>
          <w:sz w:val="22"/>
          <w:szCs w:val="22"/>
          <w:lang w:val="el-GR"/>
        </w:rPr>
        <w:t>καταλληλότητας</w:t>
      </w:r>
      <w:proofErr w:type="spellEnd"/>
      <w:r w:rsidRPr="006E4F23">
        <w:rPr>
          <w:rFonts w:ascii="Ping LCG Regular" w:hAnsi="Ping LCG Regular"/>
          <w:color w:val="000000"/>
          <w:sz w:val="22"/>
          <w:szCs w:val="22"/>
          <w:lang w:val="el-GR"/>
        </w:rPr>
        <w:t xml:space="preserve"> ή της συμβατότητας για τους σκοπούς των Κεφαλαίων 9Α ή 10Α αντίστοιχα του COBS ή (β) σύσταση προς οποιονδήποτε επενδυτή ή ομάδα επενδυτών να επενδύσει ή να αγοράσει ή να προβεί σε οποιαδήποτε άλλη ενέργεια σε σχέση με τις Ομολογίες.</w:t>
      </w:r>
    </w:p>
    <w:p w14:paraId="154DD005" w14:textId="77777777" w:rsidR="00635089" w:rsidRPr="006E4F23" w:rsidRDefault="00635089" w:rsidP="006E4F23">
      <w:pPr>
        <w:tabs>
          <w:tab w:val="right" w:pos="8646"/>
        </w:tabs>
        <w:jc w:val="both"/>
        <w:rPr>
          <w:rFonts w:ascii="Ping LCG Regular" w:hAnsi="Ping LCG Regular"/>
          <w:color w:val="000000"/>
          <w:sz w:val="22"/>
          <w:szCs w:val="22"/>
          <w:lang w:val="el-GR"/>
        </w:rPr>
      </w:pPr>
    </w:p>
    <w:p w14:paraId="653202B1" w14:textId="70C4456F" w:rsidR="00635089" w:rsidRPr="00B41864" w:rsidRDefault="00635089" w:rsidP="00635089">
      <w:pPr>
        <w:tabs>
          <w:tab w:val="right" w:pos="8646"/>
        </w:tabs>
        <w:rPr>
          <w:rFonts w:ascii="Ping LCG Regular" w:hAnsi="Ping LCG Regular"/>
          <w:color w:val="000000"/>
          <w:sz w:val="22"/>
          <w:szCs w:val="22"/>
          <w:lang w:val="el-GR"/>
        </w:rPr>
      </w:pPr>
      <w:r w:rsidRPr="00B41864">
        <w:rPr>
          <w:rFonts w:ascii="Ping LCG Regular" w:hAnsi="Ping LCG Regular"/>
          <w:color w:val="000000"/>
          <w:sz w:val="22"/>
          <w:szCs w:val="22"/>
          <w:lang w:val="el-GR"/>
        </w:rPr>
        <w:t>Για περισσότερες πληροφορίες, παρακαλούμε επικοινωνήστε με:</w:t>
      </w:r>
    </w:p>
    <w:p w14:paraId="00F753A9" w14:textId="77777777" w:rsidR="00F4229A" w:rsidRPr="00B41864" w:rsidRDefault="00F4229A" w:rsidP="00635089">
      <w:pPr>
        <w:tabs>
          <w:tab w:val="right" w:pos="8646"/>
        </w:tabs>
        <w:rPr>
          <w:rFonts w:ascii="Ping LCG Regular" w:hAnsi="Ping LCG Regular"/>
          <w:color w:val="000000"/>
          <w:sz w:val="22"/>
          <w:szCs w:val="22"/>
          <w:lang w:val="el-GR"/>
        </w:rPr>
      </w:pPr>
    </w:p>
    <w:p w14:paraId="4A9E26F4" w14:textId="7DCE5DF2" w:rsidR="00635089" w:rsidRPr="00B41864" w:rsidRDefault="00AE5E5E" w:rsidP="00635089">
      <w:pPr>
        <w:tabs>
          <w:tab w:val="right" w:pos="8646"/>
        </w:tabs>
        <w:rPr>
          <w:rFonts w:ascii="Ping LCG Regular" w:hAnsi="Ping LCG Regular"/>
          <w:color w:val="000000"/>
          <w:sz w:val="22"/>
          <w:szCs w:val="22"/>
          <w:lang w:val="el-GR"/>
        </w:rPr>
      </w:pPr>
      <w:r>
        <w:rPr>
          <w:rFonts w:ascii="Ping LCG Regular" w:hAnsi="Ping LCG Regular"/>
          <w:color w:val="000000"/>
          <w:sz w:val="22"/>
          <w:szCs w:val="22"/>
          <w:lang w:val="el-GR"/>
        </w:rPr>
        <w:t xml:space="preserve">Γενική </w:t>
      </w:r>
      <w:r w:rsidR="00635089" w:rsidRPr="00B41864">
        <w:rPr>
          <w:rFonts w:ascii="Ping LCG Regular" w:hAnsi="Ping LCG Regular"/>
          <w:color w:val="000000"/>
          <w:sz w:val="22"/>
          <w:szCs w:val="22"/>
          <w:lang w:val="el-GR"/>
        </w:rPr>
        <w:t xml:space="preserve">Διεύθυνση Επενδυτικών Σχέσεων </w:t>
      </w:r>
      <w:r w:rsidR="00635089" w:rsidRPr="00B41864">
        <w:rPr>
          <w:rFonts w:ascii="Ping LCG Regular" w:hAnsi="Ping LCG Regular"/>
          <w:color w:val="000000"/>
          <w:sz w:val="22"/>
          <w:szCs w:val="22"/>
          <w:lang w:val="el-GR"/>
        </w:rPr>
        <w:tab/>
        <w:t>Media Relations Ομίλου ΔΕΗ</w:t>
      </w:r>
    </w:p>
    <w:p w14:paraId="304932A3" w14:textId="48384340" w:rsidR="00635089" w:rsidRPr="00B41864" w:rsidRDefault="00635089" w:rsidP="00635089">
      <w:pPr>
        <w:tabs>
          <w:tab w:val="right" w:pos="8646"/>
        </w:tabs>
        <w:rPr>
          <w:rFonts w:ascii="Ping LCG Regular" w:hAnsi="Ping LCG Regular"/>
          <w:color w:val="000000"/>
          <w:sz w:val="22"/>
          <w:szCs w:val="22"/>
          <w:lang w:val="el-GR"/>
        </w:rPr>
      </w:pPr>
      <w:r w:rsidRPr="00B41864">
        <w:rPr>
          <w:rFonts w:ascii="Ping LCG Regular" w:hAnsi="Ping LCG Regular"/>
          <w:color w:val="000000"/>
          <w:sz w:val="22"/>
          <w:szCs w:val="22"/>
          <w:lang w:val="el-GR"/>
        </w:rPr>
        <w:t xml:space="preserve">Χαλκοκονδύλη 30, 104 32 Αθήνα </w:t>
      </w:r>
      <w:r w:rsidRPr="00B41864">
        <w:rPr>
          <w:rFonts w:ascii="Ping LCG Regular" w:hAnsi="Ping LCG Regular"/>
          <w:color w:val="000000"/>
          <w:sz w:val="22"/>
          <w:szCs w:val="22"/>
          <w:lang w:val="el-GR"/>
        </w:rPr>
        <w:tab/>
        <w:t>Χαλκοκονδύλη 32, 104 32 Αθήνα</w:t>
      </w:r>
    </w:p>
    <w:p w14:paraId="03286272" w14:textId="2C9307A9" w:rsidR="00635089" w:rsidRPr="00B41864" w:rsidRDefault="00635089" w:rsidP="00635089">
      <w:pPr>
        <w:tabs>
          <w:tab w:val="right" w:pos="8646"/>
        </w:tabs>
        <w:rPr>
          <w:rFonts w:ascii="Ping LCG Regular" w:hAnsi="Ping LCG Regular"/>
          <w:color w:val="000000"/>
          <w:sz w:val="22"/>
          <w:szCs w:val="22"/>
          <w:lang w:val="el-GR"/>
        </w:rPr>
      </w:pPr>
      <w:r w:rsidRPr="00B41864">
        <w:rPr>
          <w:rFonts w:ascii="Ping LCG Regular" w:hAnsi="Ping LCG Regular"/>
          <w:color w:val="000000"/>
          <w:sz w:val="22"/>
          <w:szCs w:val="22"/>
          <w:lang w:val="el-GR"/>
        </w:rPr>
        <w:t xml:space="preserve">Τ: +30 210 529 2153 </w:t>
      </w:r>
      <w:r w:rsidRPr="00B41864">
        <w:rPr>
          <w:rFonts w:ascii="Ping LCG Regular" w:hAnsi="Ping LCG Regular"/>
          <w:color w:val="000000"/>
          <w:sz w:val="22"/>
          <w:szCs w:val="22"/>
          <w:lang w:val="el-GR"/>
        </w:rPr>
        <w:tab/>
        <w:t xml:space="preserve">Τ: +30 210 523 1807, </w:t>
      </w:r>
    </w:p>
    <w:p w14:paraId="3F5570FA" w14:textId="1D8FABB5" w:rsidR="00635089" w:rsidRPr="00B41864" w:rsidRDefault="00635089" w:rsidP="00635089">
      <w:pPr>
        <w:tabs>
          <w:tab w:val="right" w:pos="8646"/>
        </w:tabs>
        <w:rPr>
          <w:rFonts w:ascii="Ping LCG Regular" w:hAnsi="Ping LCG Regular"/>
          <w:color w:val="000000"/>
          <w:sz w:val="22"/>
          <w:szCs w:val="22"/>
          <w:lang w:val="el-GR"/>
        </w:rPr>
      </w:pPr>
      <w:r w:rsidRPr="00B41864">
        <w:rPr>
          <w:rFonts w:ascii="Ping LCG Regular" w:hAnsi="Ping LCG Regular"/>
          <w:color w:val="000000"/>
          <w:sz w:val="22"/>
          <w:szCs w:val="22"/>
          <w:lang w:val="el-GR"/>
        </w:rPr>
        <w:t>+30 210 529 3665</w:t>
      </w:r>
      <w:r w:rsidRPr="00B41864">
        <w:rPr>
          <w:rFonts w:ascii="Ping LCG Regular" w:hAnsi="Ping LCG Regular"/>
          <w:color w:val="000000"/>
          <w:sz w:val="22"/>
          <w:szCs w:val="22"/>
          <w:lang w:val="el-GR"/>
        </w:rPr>
        <w:tab/>
        <w:t>+30 210 529 3404,</w:t>
      </w:r>
    </w:p>
    <w:p w14:paraId="4BDBFE30" w14:textId="140A20FF" w:rsidR="00635089" w:rsidRPr="00B41864" w:rsidRDefault="00635089" w:rsidP="00635089">
      <w:pPr>
        <w:tabs>
          <w:tab w:val="right" w:pos="8646"/>
        </w:tabs>
        <w:rPr>
          <w:rFonts w:ascii="Ping LCG Regular" w:hAnsi="Ping LCG Regular"/>
          <w:color w:val="000000"/>
          <w:sz w:val="22"/>
          <w:szCs w:val="22"/>
          <w:lang w:val="el-GR"/>
        </w:rPr>
      </w:pPr>
      <w:r w:rsidRPr="00B41864">
        <w:rPr>
          <w:rFonts w:ascii="Ping LCG Regular" w:hAnsi="Ping LCG Regular"/>
          <w:color w:val="000000"/>
          <w:sz w:val="22"/>
          <w:szCs w:val="22"/>
          <w:lang w:val="el-GR"/>
        </w:rPr>
        <w:t>+30 210 529 3207</w:t>
      </w:r>
      <w:r w:rsidRPr="00B41864">
        <w:rPr>
          <w:rFonts w:ascii="Ping LCG Regular" w:hAnsi="Ping LCG Regular"/>
          <w:color w:val="000000"/>
          <w:sz w:val="22"/>
          <w:szCs w:val="22"/>
          <w:lang w:val="el-GR"/>
        </w:rPr>
        <w:tab/>
        <w:t>+30 697 270 7713</w:t>
      </w:r>
    </w:p>
    <w:p w14:paraId="51B36056" w14:textId="2F975F1A" w:rsidR="00635089" w:rsidRPr="00B41864" w:rsidRDefault="00F4229A" w:rsidP="00635089">
      <w:pPr>
        <w:tabs>
          <w:tab w:val="right" w:pos="8646"/>
        </w:tabs>
        <w:rPr>
          <w:rFonts w:ascii="Ping LCG Regular" w:hAnsi="Ping LCG Regular"/>
          <w:color w:val="000000"/>
          <w:sz w:val="22"/>
          <w:szCs w:val="22"/>
          <w:lang w:val="el-GR"/>
        </w:rPr>
      </w:pPr>
      <w:hyperlink r:id="rId11" w:history="1">
        <w:r w:rsidRPr="00B41864">
          <w:rPr>
            <w:rStyle w:val="Hyperlink"/>
            <w:rFonts w:ascii="Ping LCG Regular" w:hAnsi="Ping LCG Regular"/>
            <w:sz w:val="22"/>
            <w:szCs w:val="22"/>
            <w:lang w:val="el-GR"/>
          </w:rPr>
          <w:t>ir@ppcgroup.com</w:t>
        </w:r>
      </w:hyperlink>
      <w:r w:rsidRPr="00B41864">
        <w:rPr>
          <w:rFonts w:ascii="Ping LCG Regular" w:hAnsi="Ping LCG Regular"/>
          <w:color w:val="000000"/>
          <w:sz w:val="22"/>
          <w:szCs w:val="22"/>
          <w:lang w:val="el-GR"/>
        </w:rPr>
        <w:t xml:space="preserve"> </w:t>
      </w:r>
      <w:r w:rsidR="00635089" w:rsidRPr="00B41864">
        <w:rPr>
          <w:rFonts w:ascii="Ping LCG Regular" w:hAnsi="Ping LCG Regular"/>
          <w:color w:val="000000"/>
          <w:sz w:val="22"/>
          <w:szCs w:val="22"/>
          <w:lang w:val="el-GR"/>
        </w:rPr>
        <w:tab/>
      </w:r>
      <w:hyperlink r:id="rId12" w:history="1">
        <w:r w:rsidRPr="00B41864">
          <w:rPr>
            <w:rStyle w:val="Hyperlink"/>
            <w:rFonts w:ascii="Ping LCG Regular" w:hAnsi="Ping LCG Regular"/>
            <w:sz w:val="22"/>
            <w:szCs w:val="22"/>
            <w:lang w:val="el-GR"/>
          </w:rPr>
          <w:t>information@ppcgroup.com</w:t>
        </w:r>
      </w:hyperlink>
      <w:r w:rsidRPr="00B41864">
        <w:rPr>
          <w:rFonts w:ascii="Ping LCG Regular" w:hAnsi="Ping LCG Regular"/>
          <w:color w:val="000000"/>
          <w:sz w:val="22"/>
          <w:szCs w:val="22"/>
          <w:lang w:val="el-GR"/>
        </w:rPr>
        <w:t xml:space="preserve"> </w:t>
      </w:r>
      <w:r w:rsidR="00635089" w:rsidRPr="00B41864">
        <w:rPr>
          <w:rFonts w:ascii="Ping LCG Regular" w:hAnsi="Ping LCG Regular"/>
          <w:color w:val="000000"/>
          <w:sz w:val="22"/>
          <w:szCs w:val="22"/>
          <w:lang w:val="el-GR"/>
        </w:rPr>
        <w:t xml:space="preserve"> </w:t>
      </w:r>
    </w:p>
    <w:p w14:paraId="6983A878" w14:textId="77777777" w:rsidR="00635089" w:rsidRPr="00B41864" w:rsidRDefault="00635089" w:rsidP="00635089">
      <w:pPr>
        <w:tabs>
          <w:tab w:val="right" w:pos="8646"/>
        </w:tabs>
        <w:rPr>
          <w:rFonts w:ascii="Ping LCG Regular" w:hAnsi="Ping LCG Regular"/>
          <w:color w:val="000000"/>
          <w:sz w:val="22"/>
          <w:szCs w:val="22"/>
          <w:lang w:val="el-GR"/>
        </w:rPr>
      </w:pPr>
    </w:p>
    <w:p w14:paraId="739BBA5E" w14:textId="7AE2ECA4" w:rsidR="000046B7" w:rsidRPr="00635089" w:rsidRDefault="000046B7" w:rsidP="00635089">
      <w:pPr>
        <w:tabs>
          <w:tab w:val="right" w:pos="8646"/>
        </w:tabs>
        <w:rPr>
          <w:rFonts w:ascii="Ping LCG Regular" w:hAnsi="Ping LCG Regular" w:cs="Calibri"/>
          <w:lang w:val="el-GR" w:eastAsia="el-GR"/>
        </w:rPr>
      </w:pPr>
    </w:p>
    <w:p w14:paraId="0385DAD6" w14:textId="77777777" w:rsidR="000D05EE" w:rsidRPr="00635089" w:rsidRDefault="000D05EE" w:rsidP="00EF5212">
      <w:pPr>
        <w:jc w:val="both"/>
        <w:rPr>
          <w:rFonts w:ascii="Ping LCG Regular" w:hAnsi="Ping LCG Regular"/>
          <w:sz w:val="22"/>
          <w:szCs w:val="22"/>
          <w:lang w:val="el-GR"/>
        </w:rPr>
      </w:pPr>
    </w:p>
    <w:p w14:paraId="4A188B88" w14:textId="78F8196C" w:rsidR="003F6FFB" w:rsidRPr="00635089" w:rsidRDefault="00062015" w:rsidP="00EF5212">
      <w:pPr>
        <w:jc w:val="both"/>
        <w:rPr>
          <w:rFonts w:ascii="Ping LCG Regular" w:hAnsi="Ping LCG Regular"/>
          <w:sz w:val="22"/>
          <w:szCs w:val="22"/>
          <w:lang w:val="el-GR"/>
        </w:rPr>
      </w:pPr>
      <w:r w:rsidRPr="00635089">
        <w:rPr>
          <w:rFonts w:ascii="Ping LCG Regular" w:hAnsi="Ping LCG Regular"/>
          <w:sz w:val="22"/>
          <w:szCs w:val="22"/>
          <w:lang w:val="el-GR"/>
        </w:rPr>
        <w:t>Η ανακοίνωση είναι διαθέσιμη στον διαδικτυακό τόπο της ΔΕΗ Α.Ε (</w:t>
      </w:r>
      <w:hyperlink r:id="rId13" w:history="1">
        <w:r w:rsidRPr="00635089">
          <w:rPr>
            <w:rStyle w:val="Hyperlink"/>
            <w:rFonts w:ascii="Ping LCG Regular" w:hAnsi="Ping LCG Regular"/>
            <w:sz w:val="22"/>
            <w:szCs w:val="22"/>
            <w:lang w:val="el-GR"/>
          </w:rPr>
          <w:t>www.</w:t>
        </w:r>
        <w:r w:rsidR="0084605B" w:rsidRPr="00635089">
          <w:rPr>
            <w:rStyle w:val="Hyperlink"/>
            <w:lang w:val="el-GR"/>
          </w:rPr>
          <w:t xml:space="preserve"> </w:t>
        </w:r>
        <w:r w:rsidR="0084605B" w:rsidRPr="00635089">
          <w:rPr>
            <w:rStyle w:val="Hyperlink"/>
            <w:rFonts w:ascii="Ping LCG Regular" w:hAnsi="Ping LCG Regular"/>
            <w:sz w:val="22"/>
            <w:szCs w:val="22"/>
            <w:lang w:val="el-GR"/>
          </w:rPr>
          <w:t>ppcgroup.com</w:t>
        </w:r>
      </w:hyperlink>
      <w:r w:rsidRPr="00635089">
        <w:rPr>
          <w:rFonts w:ascii="Ping LCG Regular" w:hAnsi="Ping LCG Regular"/>
          <w:sz w:val="22"/>
          <w:szCs w:val="22"/>
          <w:lang w:val="el-GR"/>
        </w:rPr>
        <w:t xml:space="preserve">) στην ενότητα “Επενδυτικές Σχέσεις”. </w:t>
      </w:r>
    </w:p>
    <w:sectPr w:rsidR="003F6FFB" w:rsidRPr="00635089" w:rsidSect="004E2199">
      <w:headerReference w:type="even" r:id="rId14"/>
      <w:headerReference w:type="default" r:id="rId15"/>
      <w:footerReference w:type="even" r:id="rId16"/>
      <w:footerReference w:type="default" r:id="rId17"/>
      <w:headerReference w:type="first" r:id="rId18"/>
      <w:footerReference w:type="first" r:id="rId19"/>
      <w:pgSz w:w="11900" w:h="16840"/>
      <w:pgMar w:top="1985" w:right="1694" w:bottom="907" w:left="1560" w:header="0" w:footer="9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A472" w14:textId="77777777" w:rsidR="00096BF5" w:rsidRDefault="00096BF5" w:rsidP="0054172F">
      <w:r>
        <w:separator/>
      </w:r>
    </w:p>
  </w:endnote>
  <w:endnote w:type="continuationSeparator" w:id="0">
    <w:p w14:paraId="59C94552" w14:textId="77777777" w:rsidR="00096BF5" w:rsidRDefault="00096BF5" w:rsidP="0054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ing LCG Regular">
    <w:altName w:val="Calibri"/>
    <w:panose1 w:val="00000000000000000000"/>
    <w:charset w:val="00"/>
    <w:family w:val="modern"/>
    <w:notTrueType/>
    <w:pitch w:val="variable"/>
    <w:sig w:usb0="E00002FF" w:usb1="5001E47B"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5490327"/>
      <w:docPartObj>
        <w:docPartGallery w:val="Page Numbers (Bottom of Page)"/>
        <w:docPartUnique/>
      </w:docPartObj>
    </w:sdtPr>
    <w:sdtEndPr>
      <w:rPr>
        <w:rStyle w:val="PageNumber"/>
      </w:rPr>
    </w:sdtEndPr>
    <w:sdtContent>
      <w:p w14:paraId="634B7564" w14:textId="1081F108" w:rsidR="00277187" w:rsidRDefault="00277187" w:rsidP="00C3009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38097A" w14:textId="77777777" w:rsidR="00277187" w:rsidRDefault="00277187" w:rsidP="0027718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ing LCG Regular" w:hAnsi="Ping LCG Regular"/>
        <w:sz w:val="16"/>
        <w:szCs w:val="16"/>
      </w:rPr>
      <w:id w:val="-472456482"/>
      <w:docPartObj>
        <w:docPartGallery w:val="Page Numbers (Bottom of Page)"/>
        <w:docPartUnique/>
      </w:docPartObj>
    </w:sdtPr>
    <w:sdtEndPr>
      <w:rPr>
        <w:rStyle w:val="PageNumber"/>
      </w:rPr>
    </w:sdtEndPr>
    <w:sdtContent>
      <w:p w14:paraId="44C738F4" w14:textId="7C5B8C9F" w:rsidR="00277187" w:rsidRPr="00277187" w:rsidRDefault="00277187" w:rsidP="00F5169D">
        <w:pPr>
          <w:pStyle w:val="Footer"/>
          <w:framePr w:w="561" w:wrap="notBeside" w:vAnchor="page" w:hAnchor="page" w:x="10601" w:y="16267"/>
          <w:jc w:val="right"/>
          <w:rPr>
            <w:rStyle w:val="PageNumber"/>
            <w:rFonts w:ascii="Ping LCG Regular" w:hAnsi="Ping LCG Regular"/>
            <w:sz w:val="16"/>
            <w:szCs w:val="16"/>
          </w:rPr>
        </w:pPr>
        <w:r w:rsidRPr="00277187">
          <w:rPr>
            <w:rStyle w:val="PageNumber"/>
            <w:rFonts w:ascii="Ping LCG Regular" w:hAnsi="Ping LCG Regular"/>
            <w:sz w:val="16"/>
            <w:szCs w:val="16"/>
          </w:rPr>
          <w:fldChar w:fldCharType="begin"/>
        </w:r>
        <w:r w:rsidRPr="00277187">
          <w:rPr>
            <w:rStyle w:val="PageNumber"/>
            <w:rFonts w:ascii="Ping LCG Regular" w:hAnsi="Ping LCG Regular"/>
            <w:sz w:val="16"/>
            <w:szCs w:val="16"/>
          </w:rPr>
          <w:instrText xml:space="preserve"> PAGE </w:instrText>
        </w:r>
        <w:r w:rsidRPr="00277187">
          <w:rPr>
            <w:rStyle w:val="PageNumber"/>
            <w:rFonts w:ascii="Ping LCG Regular" w:hAnsi="Ping LCG Regular"/>
            <w:sz w:val="16"/>
            <w:szCs w:val="16"/>
          </w:rPr>
          <w:fldChar w:fldCharType="separate"/>
        </w:r>
        <w:r w:rsidRPr="00277187">
          <w:rPr>
            <w:rStyle w:val="PageNumber"/>
            <w:rFonts w:ascii="Ping LCG Regular" w:hAnsi="Ping LCG Regular"/>
            <w:noProof/>
            <w:sz w:val="16"/>
            <w:szCs w:val="16"/>
          </w:rPr>
          <w:t>2</w:t>
        </w:r>
        <w:r w:rsidRPr="00277187">
          <w:rPr>
            <w:rStyle w:val="PageNumber"/>
            <w:rFonts w:ascii="Ping LCG Regular" w:hAnsi="Ping LCG Regular"/>
            <w:sz w:val="16"/>
            <w:szCs w:val="16"/>
          </w:rPr>
          <w:fldChar w:fldCharType="end"/>
        </w:r>
      </w:p>
    </w:sdtContent>
  </w:sdt>
  <w:p w14:paraId="4A55A45F" w14:textId="1FE913F6" w:rsidR="00351929" w:rsidRDefault="00351929" w:rsidP="00C30099">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0C8E" w14:textId="72BF991C" w:rsidR="001B100F" w:rsidRDefault="001B100F" w:rsidP="0027718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7B9F" w14:textId="77777777" w:rsidR="00096BF5" w:rsidRDefault="00096BF5" w:rsidP="0054172F">
      <w:r>
        <w:separator/>
      </w:r>
    </w:p>
  </w:footnote>
  <w:footnote w:type="continuationSeparator" w:id="0">
    <w:p w14:paraId="3A26A8D3" w14:textId="77777777" w:rsidR="00096BF5" w:rsidRDefault="00096BF5" w:rsidP="0054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A6EF" w14:textId="5C03BB37" w:rsidR="0054172F" w:rsidRDefault="00443215">
    <w:pPr>
      <w:pStyle w:val="Header"/>
    </w:pPr>
    <w:r>
      <w:rPr>
        <w:noProof/>
      </w:rPr>
      <w:pict w14:anchorId="16320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270" o:spid="_x0000_s1025" type="#_x0000_t75" alt="/Volumes/BriefMe_06/005-DDB/2020/113-DEH/035-PressRealesa/Telikes_Maketes/Press-Release 21x29,7cm-01-72ppi.jpg" style="position:absolute;margin-left:0;margin-top:0;width:297.5pt;height:421pt;z-index:-251656192;mso-wrap-edited:f;mso-width-percent:0;mso-height-percent:0;mso-position-horizontal:center;mso-position-horizontal-relative:margin;mso-position-vertical:center;mso-position-vertical-relative:margin;mso-width-percent:0;mso-height-percent:0" o:allowincell="f">
          <v:imagedata r:id="rId1" o:title="Press-Release 21x29,7cm-01-72p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A6BE" w14:textId="59250CA6" w:rsidR="0014283C" w:rsidRDefault="004B12ED" w:rsidP="0014283C">
    <w:pPr>
      <w:pStyle w:val="Header"/>
      <w:tabs>
        <w:tab w:val="left" w:pos="2268"/>
      </w:tabs>
    </w:pPr>
    <w:r>
      <w:rPr>
        <w:noProof/>
      </w:rPr>
      <w:drawing>
        <wp:anchor distT="0" distB="0" distL="114300" distR="114300" simplePos="0" relativeHeight="251657216" behindDoc="1" locked="0" layoutInCell="1" allowOverlap="1" wp14:anchorId="046EBE7F" wp14:editId="31016520">
          <wp:simplePos x="0" y="0"/>
          <wp:positionH relativeFrom="page">
            <wp:align>left</wp:align>
          </wp:positionH>
          <wp:positionV relativeFrom="topMargin">
            <wp:posOffset>9525</wp:posOffset>
          </wp:positionV>
          <wp:extent cx="8366125" cy="1238250"/>
          <wp:effectExtent l="0" t="0" r="0" b="0"/>
          <wp:wrapNone/>
          <wp:docPr id="16" name="Εικόνα 16"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a:off x="0" y="0"/>
                    <a:ext cx="8366125" cy="1238250"/>
                  </a:xfrm>
                  <a:prstGeom prst="rect">
                    <a:avLst/>
                  </a:prstGeom>
                </pic:spPr>
              </pic:pic>
            </a:graphicData>
          </a:graphic>
          <wp14:sizeRelH relativeFrom="page">
            <wp14:pctWidth>0</wp14:pctWidth>
          </wp14:sizeRelH>
          <wp14:sizeRelV relativeFrom="page">
            <wp14:pctHeight>0</wp14:pctHeight>
          </wp14:sizeRelV>
        </wp:anchor>
      </w:drawing>
    </w:r>
  </w:p>
  <w:p w14:paraId="6210AD1C" w14:textId="6B5FE6C5" w:rsidR="0054172F" w:rsidRDefault="00A73BA1" w:rsidP="00504205">
    <w:pPr>
      <w:pStyle w:val="Header"/>
    </w:pPr>
    <w:r>
      <w:rPr>
        <w:noProof/>
      </w:rPr>
      <w:drawing>
        <wp:anchor distT="0" distB="0" distL="114300" distR="114300" simplePos="0" relativeHeight="251656192" behindDoc="1" locked="0" layoutInCell="1" allowOverlap="1" wp14:anchorId="67762AD2" wp14:editId="733BC9A8">
          <wp:simplePos x="0" y="0"/>
          <wp:positionH relativeFrom="page">
            <wp:posOffset>0</wp:posOffset>
          </wp:positionH>
          <wp:positionV relativeFrom="page">
            <wp:posOffset>9613265</wp:posOffset>
          </wp:positionV>
          <wp:extent cx="7560000" cy="1080000"/>
          <wp:effectExtent l="0" t="0" r="0" b="0"/>
          <wp:wrapNone/>
          <wp:docPr id="17" name="Εικόνα 17"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BD0F" w14:textId="2B211CB7" w:rsidR="0054172F" w:rsidRDefault="004E2199">
    <w:pPr>
      <w:pStyle w:val="Header"/>
    </w:pPr>
    <w:r>
      <w:rPr>
        <w:noProof/>
      </w:rPr>
      <w:drawing>
        <wp:anchor distT="0" distB="0" distL="114300" distR="114300" simplePos="0" relativeHeight="251659264" behindDoc="1" locked="0" layoutInCell="1" allowOverlap="1" wp14:anchorId="66E17425" wp14:editId="60273BBD">
          <wp:simplePos x="0" y="0"/>
          <wp:positionH relativeFrom="page">
            <wp:posOffset>464820</wp:posOffset>
          </wp:positionH>
          <wp:positionV relativeFrom="page">
            <wp:posOffset>297180</wp:posOffset>
          </wp:positionV>
          <wp:extent cx="2894330" cy="1842770"/>
          <wp:effectExtent l="0" t="0" r="0" b="0"/>
          <wp:wrapNone/>
          <wp:docPr id="18" name="Εικόνα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8708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94330" cy="1842770"/>
                  </a:xfrm>
                  <a:prstGeom prst="rect">
                    <a:avLst/>
                  </a:prstGeom>
                </pic:spPr>
              </pic:pic>
            </a:graphicData>
          </a:graphic>
          <wp14:sizeRelH relativeFrom="margin">
            <wp14:pctWidth>0</wp14:pctWidth>
          </wp14:sizeRelH>
          <wp14:sizeRelV relativeFrom="margin">
            <wp14:pctHeight>0</wp14:pctHeight>
          </wp14:sizeRelV>
        </wp:anchor>
      </w:drawing>
    </w:r>
    <w:r w:rsidR="004B12ED">
      <w:rPr>
        <w:noProof/>
      </w:rPr>
      <w:drawing>
        <wp:anchor distT="0" distB="0" distL="114300" distR="114300" simplePos="0" relativeHeight="251658240" behindDoc="1" locked="0" layoutInCell="1" allowOverlap="1" wp14:anchorId="0E173648" wp14:editId="305769A1">
          <wp:simplePos x="0" y="0"/>
          <wp:positionH relativeFrom="page">
            <wp:posOffset>-304800</wp:posOffset>
          </wp:positionH>
          <wp:positionV relativeFrom="page">
            <wp:align>top</wp:align>
          </wp:positionV>
          <wp:extent cx="8366125" cy="1238250"/>
          <wp:effectExtent l="0" t="0" r="0" b="0"/>
          <wp:wrapNone/>
          <wp:docPr id="19" name="Εικόνα 19"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10800000" flipH="1">
                    <a:off x="0" y="0"/>
                    <a:ext cx="8366125" cy="1238250"/>
                  </a:xfrm>
                  <a:prstGeom prst="rect">
                    <a:avLst/>
                  </a:prstGeom>
                </pic:spPr>
              </pic:pic>
            </a:graphicData>
          </a:graphic>
          <wp14:sizeRelH relativeFrom="page">
            <wp14:pctWidth>0</wp14:pctWidth>
          </wp14:sizeRelH>
          <wp14:sizeRelV relativeFrom="page">
            <wp14:pctHeight>0</wp14:pctHeight>
          </wp14:sizeRelV>
        </wp:anchor>
      </w:drawing>
    </w:r>
    <w:r w:rsidR="00A73BA1">
      <w:rPr>
        <w:noProof/>
      </w:rPr>
      <w:drawing>
        <wp:anchor distT="0" distB="0" distL="114300" distR="114300" simplePos="0" relativeHeight="251655168" behindDoc="1" locked="0" layoutInCell="1" allowOverlap="1" wp14:anchorId="7C90C022" wp14:editId="0AA2087C">
          <wp:simplePos x="0" y="0"/>
          <wp:positionH relativeFrom="page">
            <wp:posOffset>0</wp:posOffset>
          </wp:positionH>
          <wp:positionV relativeFrom="page">
            <wp:posOffset>9613265</wp:posOffset>
          </wp:positionV>
          <wp:extent cx="7560000" cy="1080000"/>
          <wp:effectExtent l="0" t="0" r="0" b="0"/>
          <wp:wrapNone/>
          <wp:docPr id="20" name="Εικόνα 20"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F0A46"/>
    <w:multiLevelType w:val="hybridMultilevel"/>
    <w:tmpl w:val="5718C70C"/>
    <w:lvl w:ilvl="0" w:tplc="9B92B656">
      <w:start w:val="1"/>
      <w:numFmt w:val="bullet"/>
      <w:lvlText w:val="n"/>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6B322877"/>
    <w:multiLevelType w:val="hybridMultilevel"/>
    <w:tmpl w:val="5F246BE4"/>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DE707D9"/>
    <w:multiLevelType w:val="hybridMultilevel"/>
    <w:tmpl w:val="84DA23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12B4092"/>
    <w:multiLevelType w:val="hybridMultilevel"/>
    <w:tmpl w:val="C3369D3A"/>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E776108"/>
    <w:multiLevelType w:val="hybridMultilevel"/>
    <w:tmpl w:val="678037EA"/>
    <w:lvl w:ilvl="0" w:tplc="9B92B656">
      <w:start w:val="1"/>
      <w:numFmt w:val="bullet"/>
      <w:lvlText w:val="n"/>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8700464">
    <w:abstractNumId w:val="2"/>
  </w:num>
  <w:num w:numId="2" w16cid:durableId="1525941165">
    <w:abstractNumId w:val="0"/>
  </w:num>
  <w:num w:numId="3" w16cid:durableId="951860467">
    <w:abstractNumId w:val="4"/>
  </w:num>
  <w:num w:numId="4" w16cid:durableId="554126418">
    <w:abstractNumId w:val="1"/>
  </w:num>
  <w:num w:numId="5" w16cid:durableId="197263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F"/>
    <w:rsid w:val="000046B7"/>
    <w:rsid w:val="00027E5A"/>
    <w:rsid w:val="0003750C"/>
    <w:rsid w:val="00054068"/>
    <w:rsid w:val="00062015"/>
    <w:rsid w:val="000659E5"/>
    <w:rsid w:val="00065D21"/>
    <w:rsid w:val="000956DB"/>
    <w:rsid w:val="00096BF5"/>
    <w:rsid w:val="000B07BA"/>
    <w:rsid w:val="000B26E0"/>
    <w:rsid w:val="000B2EE4"/>
    <w:rsid w:val="000B49E5"/>
    <w:rsid w:val="000C5EE4"/>
    <w:rsid w:val="000D05EE"/>
    <w:rsid w:val="000D7BB4"/>
    <w:rsid w:val="00106A6F"/>
    <w:rsid w:val="00116679"/>
    <w:rsid w:val="0014283C"/>
    <w:rsid w:val="0015064C"/>
    <w:rsid w:val="00174504"/>
    <w:rsid w:val="00182689"/>
    <w:rsid w:val="001B100F"/>
    <w:rsid w:val="001C3371"/>
    <w:rsid w:val="00216201"/>
    <w:rsid w:val="00220382"/>
    <w:rsid w:val="002278B0"/>
    <w:rsid w:val="0024698B"/>
    <w:rsid w:val="00254D11"/>
    <w:rsid w:val="00277187"/>
    <w:rsid w:val="002A5C21"/>
    <w:rsid w:val="002B09B5"/>
    <w:rsid w:val="002B70E8"/>
    <w:rsid w:val="002D3CF2"/>
    <w:rsid w:val="002D7A3B"/>
    <w:rsid w:val="002E37F0"/>
    <w:rsid w:val="003076FF"/>
    <w:rsid w:val="00316B8F"/>
    <w:rsid w:val="00351929"/>
    <w:rsid w:val="003561B5"/>
    <w:rsid w:val="003648FE"/>
    <w:rsid w:val="00365EB7"/>
    <w:rsid w:val="003662C2"/>
    <w:rsid w:val="00385EB9"/>
    <w:rsid w:val="003C19F3"/>
    <w:rsid w:val="003D18E4"/>
    <w:rsid w:val="003E4DF0"/>
    <w:rsid w:val="003F6F4A"/>
    <w:rsid w:val="003F6FFB"/>
    <w:rsid w:val="00404892"/>
    <w:rsid w:val="00443215"/>
    <w:rsid w:val="00462809"/>
    <w:rsid w:val="004658CF"/>
    <w:rsid w:val="00475F40"/>
    <w:rsid w:val="00480D18"/>
    <w:rsid w:val="00487836"/>
    <w:rsid w:val="004A6CE7"/>
    <w:rsid w:val="004B12ED"/>
    <w:rsid w:val="004B328F"/>
    <w:rsid w:val="004C5202"/>
    <w:rsid w:val="004E2199"/>
    <w:rsid w:val="004F27CA"/>
    <w:rsid w:val="004F3F34"/>
    <w:rsid w:val="00504205"/>
    <w:rsid w:val="00534D42"/>
    <w:rsid w:val="005355DA"/>
    <w:rsid w:val="0054172F"/>
    <w:rsid w:val="005B5190"/>
    <w:rsid w:val="005C3FF2"/>
    <w:rsid w:val="005D3CB9"/>
    <w:rsid w:val="005E76A1"/>
    <w:rsid w:val="006215EE"/>
    <w:rsid w:val="00627398"/>
    <w:rsid w:val="006309DF"/>
    <w:rsid w:val="00635089"/>
    <w:rsid w:val="00645368"/>
    <w:rsid w:val="006470E0"/>
    <w:rsid w:val="00657206"/>
    <w:rsid w:val="006678B3"/>
    <w:rsid w:val="00694054"/>
    <w:rsid w:val="006A00C9"/>
    <w:rsid w:val="006B7908"/>
    <w:rsid w:val="006E4F23"/>
    <w:rsid w:val="006E63F9"/>
    <w:rsid w:val="0070781A"/>
    <w:rsid w:val="00714052"/>
    <w:rsid w:val="007356FD"/>
    <w:rsid w:val="00795168"/>
    <w:rsid w:val="007A62D9"/>
    <w:rsid w:val="007C29FF"/>
    <w:rsid w:val="007F3967"/>
    <w:rsid w:val="0080532B"/>
    <w:rsid w:val="008056F7"/>
    <w:rsid w:val="00812ACF"/>
    <w:rsid w:val="00822E1D"/>
    <w:rsid w:val="00825BAD"/>
    <w:rsid w:val="00845311"/>
    <w:rsid w:val="008456DD"/>
    <w:rsid w:val="0084605B"/>
    <w:rsid w:val="008521FF"/>
    <w:rsid w:val="00881EF9"/>
    <w:rsid w:val="00882356"/>
    <w:rsid w:val="00883594"/>
    <w:rsid w:val="008C1647"/>
    <w:rsid w:val="008D3489"/>
    <w:rsid w:val="008D7A37"/>
    <w:rsid w:val="00925938"/>
    <w:rsid w:val="00932DBA"/>
    <w:rsid w:val="0095196B"/>
    <w:rsid w:val="00963179"/>
    <w:rsid w:val="0098169F"/>
    <w:rsid w:val="009A4FA9"/>
    <w:rsid w:val="009B255F"/>
    <w:rsid w:val="009B36B8"/>
    <w:rsid w:val="009C0106"/>
    <w:rsid w:val="00A108F0"/>
    <w:rsid w:val="00A124CA"/>
    <w:rsid w:val="00A12E6E"/>
    <w:rsid w:val="00A2428E"/>
    <w:rsid w:val="00A24596"/>
    <w:rsid w:val="00A4287C"/>
    <w:rsid w:val="00A45441"/>
    <w:rsid w:val="00A618F1"/>
    <w:rsid w:val="00A738A6"/>
    <w:rsid w:val="00A73BA1"/>
    <w:rsid w:val="00A7559C"/>
    <w:rsid w:val="00A86949"/>
    <w:rsid w:val="00A92998"/>
    <w:rsid w:val="00A94560"/>
    <w:rsid w:val="00AA1513"/>
    <w:rsid w:val="00AB5723"/>
    <w:rsid w:val="00AC0D81"/>
    <w:rsid w:val="00AD716A"/>
    <w:rsid w:val="00AE5E5E"/>
    <w:rsid w:val="00B01DAF"/>
    <w:rsid w:val="00B042C4"/>
    <w:rsid w:val="00B05B91"/>
    <w:rsid w:val="00B07F1F"/>
    <w:rsid w:val="00B17B8D"/>
    <w:rsid w:val="00B40B62"/>
    <w:rsid w:val="00B41864"/>
    <w:rsid w:val="00B4226C"/>
    <w:rsid w:val="00B6000C"/>
    <w:rsid w:val="00B6357E"/>
    <w:rsid w:val="00B80711"/>
    <w:rsid w:val="00BA674A"/>
    <w:rsid w:val="00BC29A6"/>
    <w:rsid w:val="00BC2A53"/>
    <w:rsid w:val="00BD54BB"/>
    <w:rsid w:val="00BF3F72"/>
    <w:rsid w:val="00C30099"/>
    <w:rsid w:val="00C41E8E"/>
    <w:rsid w:val="00C42745"/>
    <w:rsid w:val="00C61048"/>
    <w:rsid w:val="00C742B3"/>
    <w:rsid w:val="00C76AC3"/>
    <w:rsid w:val="00C77AB2"/>
    <w:rsid w:val="00CA4564"/>
    <w:rsid w:val="00CA671D"/>
    <w:rsid w:val="00CC3481"/>
    <w:rsid w:val="00CC7E73"/>
    <w:rsid w:val="00CD00EF"/>
    <w:rsid w:val="00CE2A69"/>
    <w:rsid w:val="00D00502"/>
    <w:rsid w:val="00D6721F"/>
    <w:rsid w:val="00D70ADE"/>
    <w:rsid w:val="00D81C85"/>
    <w:rsid w:val="00D861E6"/>
    <w:rsid w:val="00D90C84"/>
    <w:rsid w:val="00DA2515"/>
    <w:rsid w:val="00DB19D9"/>
    <w:rsid w:val="00DB40A4"/>
    <w:rsid w:val="00DC3024"/>
    <w:rsid w:val="00DC6936"/>
    <w:rsid w:val="00DD7183"/>
    <w:rsid w:val="00DF038C"/>
    <w:rsid w:val="00E1687B"/>
    <w:rsid w:val="00E3215A"/>
    <w:rsid w:val="00E6234E"/>
    <w:rsid w:val="00E655D0"/>
    <w:rsid w:val="00E914D5"/>
    <w:rsid w:val="00EB327B"/>
    <w:rsid w:val="00EC0EC0"/>
    <w:rsid w:val="00EF2DE4"/>
    <w:rsid w:val="00EF5212"/>
    <w:rsid w:val="00F065EA"/>
    <w:rsid w:val="00F17332"/>
    <w:rsid w:val="00F30464"/>
    <w:rsid w:val="00F37494"/>
    <w:rsid w:val="00F4229A"/>
    <w:rsid w:val="00F45105"/>
    <w:rsid w:val="00F5169D"/>
    <w:rsid w:val="00F93332"/>
    <w:rsid w:val="00FF40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4AA3F"/>
  <w15:chartTrackingRefBased/>
  <w15:docId w15:val="{F11A7148-9BFF-E646-88D0-EDA24589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F"/>
    <w:pPr>
      <w:tabs>
        <w:tab w:val="center" w:pos="4680"/>
        <w:tab w:val="right" w:pos="9360"/>
      </w:tabs>
    </w:pPr>
  </w:style>
  <w:style w:type="character" w:customStyle="1" w:styleId="HeaderChar">
    <w:name w:val="Header Char"/>
    <w:basedOn w:val="DefaultParagraphFont"/>
    <w:link w:val="Header"/>
    <w:uiPriority w:val="99"/>
    <w:rsid w:val="0054172F"/>
  </w:style>
  <w:style w:type="paragraph" w:styleId="Footer">
    <w:name w:val="footer"/>
    <w:basedOn w:val="Normal"/>
    <w:link w:val="FooterChar"/>
    <w:uiPriority w:val="99"/>
    <w:unhideWhenUsed/>
    <w:rsid w:val="0054172F"/>
    <w:pPr>
      <w:tabs>
        <w:tab w:val="center" w:pos="4680"/>
        <w:tab w:val="right" w:pos="9360"/>
      </w:tabs>
    </w:pPr>
  </w:style>
  <w:style w:type="character" w:customStyle="1" w:styleId="FooterChar">
    <w:name w:val="Footer Char"/>
    <w:basedOn w:val="DefaultParagraphFont"/>
    <w:link w:val="Footer"/>
    <w:uiPriority w:val="99"/>
    <w:rsid w:val="0054172F"/>
  </w:style>
  <w:style w:type="paragraph" w:styleId="BalloonText">
    <w:name w:val="Balloon Text"/>
    <w:basedOn w:val="Normal"/>
    <w:link w:val="BalloonTextChar"/>
    <w:uiPriority w:val="99"/>
    <w:semiHidden/>
    <w:unhideWhenUsed/>
    <w:rsid w:val="005417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72F"/>
    <w:rPr>
      <w:rFonts w:ascii="Times New Roman" w:hAnsi="Times New Roman" w:cs="Times New Roman"/>
      <w:sz w:val="18"/>
      <w:szCs w:val="18"/>
    </w:rPr>
  </w:style>
  <w:style w:type="table" w:styleId="TableGrid">
    <w:name w:val="Table Grid"/>
    <w:basedOn w:val="TableNormal"/>
    <w:uiPriority w:val="39"/>
    <w:rsid w:val="0035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77187"/>
  </w:style>
  <w:style w:type="paragraph" w:styleId="ListParagraph">
    <w:name w:val="List Paragraph"/>
    <w:basedOn w:val="Normal"/>
    <w:uiPriority w:val="34"/>
    <w:qFormat/>
    <w:rsid w:val="00A45441"/>
    <w:pPr>
      <w:ind w:left="720"/>
      <w:contextualSpacing/>
    </w:pPr>
  </w:style>
  <w:style w:type="character" w:styleId="Hyperlink">
    <w:name w:val="Hyperlink"/>
    <w:basedOn w:val="DefaultParagraphFont"/>
    <w:uiPriority w:val="99"/>
    <w:unhideWhenUsed/>
    <w:rsid w:val="004B12ED"/>
    <w:rPr>
      <w:color w:val="0563C1" w:themeColor="hyperlink"/>
      <w:u w:val="single"/>
    </w:rPr>
  </w:style>
  <w:style w:type="character" w:styleId="UnresolvedMention">
    <w:name w:val="Unresolved Mention"/>
    <w:basedOn w:val="DefaultParagraphFont"/>
    <w:uiPriority w:val="99"/>
    <w:semiHidden/>
    <w:unhideWhenUsed/>
    <w:rsid w:val="004B12ED"/>
    <w:rPr>
      <w:color w:val="605E5C"/>
      <w:shd w:val="clear" w:color="auto" w:fill="E1DFDD"/>
    </w:rPr>
  </w:style>
  <w:style w:type="character" w:styleId="CommentReference">
    <w:name w:val="annotation reference"/>
    <w:basedOn w:val="DefaultParagraphFont"/>
    <w:uiPriority w:val="99"/>
    <w:semiHidden/>
    <w:unhideWhenUsed/>
    <w:rsid w:val="008D7A37"/>
    <w:rPr>
      <w:sz w:val="16"/>
      <w:szCs w:val="16"/>
    </w:rPr>
  </w:style>
  <w:style w:type="paragraph" w:styleId="CommentText">
    <w:name w:val="annotation text"/>
    <w:basedOn w:val="Normal"/>
    <w:link w:val="CommentTextChar"/>
    <w:uiPriority w:val="99"/>
    <w:unhideWhenUsed/>
    <w:rsid w:val="008D7A37"/>
    <w:rPr>
      <w:sz w:val="20"/>
      <w:szCs w:val="20"/>
    </w:rPr>
  </w:style>
  <w:style w:type="character" w:customStyle="1" w:styleId="CommentTextChar">
    <w:name w:val="Comment Text Char"/>
    <w:basedOn w:val="DefaultParagraphFont"/>
    <w:link w:val="CommentText"/>
    <w:uiPriority w:val="99"/>
    <w:rsid w:val="008D7A37"/>
    <w:rPr>
      <w:sz w:val="20"/>
      <w:szCs w:val="20"/>
    </w:rPr>
  </w:style>
  <w:style w:type="paragraph" w:styleId="CommentSubject">
    <w:name w:val="annotation subject"/>
    <w:basedOn w:val="CommentText"/>
    <w:next w:val="CommentText"/>
    <w:link w:val="CommentSubjectChar"/>
    <w:uiPriority w:val="99"/>
    <w:semiHidden/>
    <w:unhideWhenUsed/>
    <w:rsid w:val="008D7A37"/>
    <w:rPr>
      <w:b/>
      <w:bCs/>
    </w:rPr>
  </w:style>
  <w:style w:type="character" w:customStyle="1" w:styleId="CommentSubjectChar">
    <w:name w:val="Comment Subject Char"/>
    <w:basedOn w:val="CommentTextChar"/>
    <w:link w:val="CommentSubject"/>
    <w:uiPriority w:val="99"/>
    <w:semiHidden/>
    <w:rsid w:val="008D7A37"/>
    <w:rPr>
      <w:b/>
      <w:bCs/>
      <w:sz w:val="20"/>
      <w:szCs w:val="20"/>
    </w:rPr>
  </w:style>
  <w:style w:type="paragraph" w:customStyle="1" w:styleId="DehPressRelease">
    <w:name w:val="Deh_Press_Release"/>
    <w:basedOn w:val="Normal"/>
    <w:link w:val="DehPressReleaseChar"/>
    <w:qFormat/>
    <w:rsid w:val="00385EB9"/>
    <w:pPr>
      <w:spacing w:after="160" w:line="259" w:lineRule="auto"/>
    </w:pPr>
    <w:rPr>
      <w:rFonts w:ascii="Ping LCG Regular" w:hAnsi="Ping LCG Regular"/>
      <w:sz w:val="22"/>
      <w:szCs w:val="28"/>
      <w:lang w:val="el-GR"/>
    </w:rPr>
  </w:style>
  <w:style w:type="character" w:customStyle="1" w:styleId="DehPressReleaseChar">
    <w:name w:val="Deh_Press_Release Char"/>
    <w:basedOn w:val="DefaultParagraphFont"/>
    <w:link w:val="DehPressRelease"/>
    <w:rsid w:val="00385EB9"/>
    <w:rPr>
      <w:rFonts w:ascii="Ping LCG Regular" w:hAnsi="Ping LCG Regular"/>
      <w:sz w:val="22"/>
      <w:szCs w:val="28"/>
      <w:lang w:val="el-GR"/>
    </w:rPr>
  </w:style>
  <w:style w:type="paragraph" w:styleId="Revision">
    <w:name w:val="Revision"/>
    <w:hidden/>
    <w:uiPriority w:val="99"/>
    <w:semiHidden/>
    <w:rsid w:val="00694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6129">
      <w:bodyDiv w:val="1"/>
      <w:marLeft w:val="0"/>
      <w:marRight w:val="0"/>
      <w:marTop w:val="0"/>
      <w:marBottom w:val="0"/>
      <w:divBdr>
        <w:top w:val="none" w:sz="0" w:space="0" w:color="auto"/>
        <w:left w:val="none" w:sz="0" w:space="0" w:color="auto"/>
        <w:bottom w:val="none" w:sz="0" w:space="0" w:color="auto"/>
        <w:right w:val="none" w:sz="0" w:space="0" w:color="auto"/>
      </w:divBdr>
    </w:div>
    <w:div w:id="292055409">
      <w:bodyDiv w:val="1"/>
      <w:marLeft w:val="0"/>
      <w:marRight w:val="0"/>
      <w:marTop w:val="0"/>
      <w:marBottom w:val="0"/>
      <w:divBdr>
        <w:top w:val="none" w:sz="0" w:space="0" w:color="auto"/>
        <w:left w:val="none" w:sz="0" w:space="0" w:color="auto"/>
        <w:bottom w:val="none" w:sz="0" w:space="0" w:color="auto"/>
        <w:right w:val="none" w:sz="0" w:space="0" w:color="auto"/>
      </w:divBdr>
    </w:div>
    <w:div w:id="354501828">
      <w:bodyDiv w:val="1"/>
      <w:marLeft w:val="0"/>
      <w:marRight w:val="0"/>
      <w:marTop w:val="0"/>
      <w:marBottom w:val="0"/>
      <w:divBdr>
        <w:top w:val="none" w:sz="0" w:space="0" w:color="auto"/>
        <w:left w:val="none" w:sz="0" w:space="0" w:color="auto"/>
        <w:bottom w:val="none" w:sz="0" w:space="0" w:color="auto"/>
        <w:right w:val="none" w:sz="0" w:space="0" w:color="auto"/>
      </w:divBdr>
    </w:div>
    <w:div w:id="420415496">
      <w:bodyDiv w:val="1"/>
      <w:marLeft w:val="0"/>
      <w:marRight w:val="0"/>
      <w:marTop w:val="0"/>
      <w:marBottom w:val="0"/>
      <w:divBdr>
        <w:top w:val="none" w:sz="0" w:space="0" w:color="auto"/>
        <w:left w:val="none" w:sz="0" w:space="0" w:color="auto"/>
        <w:bottom w:val="none" w:sz="0" w:space="0" w:color="auto"/>
        <w:right w:val="none" w:sz="0" w:space="0" w:color="auto"/>
      </w:divBdr>
      <w:divsChild>
        <w:div w:id="1812558596">
          <w:marLeft w:val="0"/>
          <w:marRight w:val="0"/>
          <w:marTop w:val="0"/>
          <w:marBottom w:val="0"/>
          <w:divBdr>
            <w:top w:val="none" w:sz="0" w:space="0" w:color="auto"/>
            <w:left w:val="none" w:sz="0" w:space="0" w:color="auto"/>
            <w:bottom w:val="none" w:sz="0" w:space="0" w:color="auto"/>
            <w:right w:val="none" w:sz="0" w:space="0" w:color="auto"/>
          </w:divBdr>
        </w:div>
      </w:divsChild>
    </w:div>
    <w:div w:id="1165121455">
      <w:bodyDiv w:val="1"/>
      <w:marLeft w:val="0"/>
      <w:marRight w:val="0"/>
      <w:marTop w:val="0"/>
      <w:marBottom w:val="0"/>
      <w:divBdr>
        <w:top w:val="none" w:sz="0" w:space="0" w:color="auto"/>
        <w:left w:val="none" w:sz="0" w:space="0" w:color="auto"/>
        <w:bottom w:val="none" w:sz="0" w:space="0" w:color="auto"/>
        <w:right w:val="none" w:sz="0" w:space="0" w:color="auto"/>
      </w:divBdr>
      <w:divsChild>
        <w:div w:id="1700743929">
          <w:marLeft w:val="0"/>
          <w:marRight w:val="0"/>
          <w:marTop w:val="0"/>
          <w:marBottom w:val="0"/>
          <w:divBdr>
            <w:top w:val="none" w:sz="0" w:space="0" w:color="auto"/>
            <w:left w:val="none" w:sz="0" w:space="0" w:color="auto"/>
            <w:bottom w:val="none" w:sz="0" w:space="0" w:color="auto"/>
            <w:right w:val="none" w:sz="0" w:space="0" w:color="auto"/>
          </w:divBdr>
        </w:div>
      </w:divsChild>
    </w:div>
    <w:div w:id="1275864989">
      <w:bodyDiv w:val="1"/>
      <w:marLeft w:val="0"/>
      <w:marRight w:val="0"/>
      <w:marTop w:val="0"/>
      <w:marBottom w:val="0"/>
      <w:divBdr>
        <w:top w:val="none" w:sz="0" w:space="0" w:color="auto"/>
        <w:left w:val="none" w:sz="0" w:space="0" w:color="auto"/>
        <w:bottom w:val="none" w:sz="0" w:space="0" w:color="auto"/>
        <w:right w:val="none" w:sz="0" w:space="0" w:color="auto"/>
      </w:divBdr>
    </w:div>
    <w:div w:id="1354838900">
      <w:bodyDiv w:val="1"/>
      <w:marLeft w:val="0"/>
      <w:marRight w:val="0"/>
      <w:marTop w:val="0"/>
      <w:marBottom w:val="0"/>
      <w:divBdr>
        <w:top w:val="none" w:sz="0" w:space="0" w:color="auto"/>
        <w:left w:val="none" w:sz="0" w:space="0" w:color="auto"/>
        <w:bottom w:val="none" w:sz="0" w:space="0" w:color="auto"/>
        <w:right w:val="none" w:sz="0" w:space="0" w:color="auto"/>
      </w:divBdr>
    </w:div>
    <w:div w:id="1422490449">
      <w:bodyDiv w:val="1"/>
      <w:marLeft w:val="0"/>
      <w:marRight w:val="0"/>
      <w:marTop w:val="0"/>
      <w:marBottom w:val="0"/>
      <w:divBdr>
        <w:top w:val="none" w:sz="0" w:space="0" w:color="auto"/>
        <w:left w:val="none" w:sz="0" w:space="0" w:color="auto"/>
        <w:bottom w:val="none" w:sz="0" w:space="0" w:color="auto"/>
        <w:right w:val="none" w:sz="0" w:space="0" w:color="auto"/>
      </w:divBdr>
    </w:div>
    <w:div w:id="1621296734">
      <w:bodyDiv w:val="1"/>
      <w:marLeft w:val="0"/>
      <w:marRight w:val="0"/>
      <w:marTop w:val="0"/>
      <w:marBottom w:val="0"/>
      <w:divBdr>
        <w:top w:val="none" w:sz="0" w:space="0" w:color="auto"/>
        <w:left w:val="none" w:sz="0" w:space="0" w:color="auto"/>
        <w:bottom w:val="none" w:sz="0" w:space="0" w:color="auto"/>
        <w:right w:val="none" w:sz="0" w:space="0" w:color="auto"/>
      </w:divBdr>
    </w:div>
    <w:div w:id="21401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pcgroup.com/el/ependytikes-sxese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tion@ppcgrou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ppc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56DD0188A2F454B943ADEE99353ADCA" ma:contentTypeVersion="20" ma:contentTypeDescription="Δημιουργία νέου εγγράφου" ma:contentTypeScope="" ma:versionID="e39ce4dff06c5d1501f96686d94f339f">
  <xsd:schema xmlns:xsd="http://www.w3.org/2001/XMLSchema" xmlns:xs="http://www.w3.org/2001/XMLSchema" xmlns:p="http://schemas.microsoft.com/office/2006/metadata/properties" xmlns:ns2="d4a73344-bfe6-440b-9b69-98a86bbafe65" xmlns:ns3="a7e01fe4-ae50-4c57-9906-a3e0af1b3929" targetNamespace="http://schemas.microsoft.com/office/2006/metadata/properties" ma:root="true" ma:fieldsID="a9b3cb088f9749417b872dcdc11360e1" ns2:_="" ns3:_="">
    <xsd:import namespace="d4a73344-bfe6-440b-9b69-98a86bbafe65"/>
    <xsd:import namespace="a7e01fe4-ae50-4c57-9906-a3e0af1b3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3344-bfe6-440b-9b69-98a86bba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01fe4-ae50-4c57-9906-a3e0af1b3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e3957d-0996-4bd8-adeb-86c932f9cb50}" ma:internalName="TaxCatchAll" ma:showField="CatchAllData" ma:web="a7e01fe4-ae50-4c57-9906-a3e0af1b392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7e01fe4-ae50-4c57-9906-a3e0af1b3929" xsi:nil="true"/>
    <lcf76f155ced4ddcb4097134ff3c332f xmlns="d4a73344-bfe6-440b-9b69-98a86bbafe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B3E06-7614-4D52-B8DF-FC38C50B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73344-bfe6-440b-9b69-98a86bbafe65"/>
    <ds:schemaRef ds:uri="a7e01fe4-ae50-4c57-9906-a3e0af1b3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414C3-897F-CA45-994C-929EB21BF4F6}">
  <ds:schemaRefs>
    <ds:schemaRef ds:uri="http://schemas.openxmlformats.org/officeDocument/2006/bibliography"/>
  </ds:schemaRefs>
</ds:datastoreItem>
</file>

<file path=customXml/itemProps3.xml><?xml version="1.0" encoding="utf-8"?>
<ds:datastoreItem xmlns:ds="http://schemas.openxmlformats.org/officeDocument/2006/customXml" ds:itemID="{9E91D2EB-2833-41B7-935D-4456869BDE45}">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customXml/itemProps4.xml><?xml version="1.0" encoding="utf-8"?>
<ds:datastoreItem xmlns:ds="http://schemas.openxmlformats.org/officeDocument/2006/customXml" ds:itemID="{A9A96EC7-B016-4AFF-A095-23700DCFE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Chatzakis Emmanouil</cp:lastModifiedBy>
  <cp:revision>3</cp:revision>
  <cp:lastPrinted>2020-10-13T13:32:00Z</cp:lastPrinted>
  <dcterms:created xsi:type="dcterms:W3CDTF">2025-10-14T04:43:00Z</dcterms:created>
  <dcterms:modified xsi:type="dcterms:W3CDTF">2025-10-14T04:43:00Z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0x010100156DD0188A2F454B943ADEE99353ADCA</vt:lpwstr>
  </property>
  <property fmtid="{D5CDD505-2E9C-101B-9397-08002B2CF9AE}" pid="3" name="MediaServiceImageTags">
    <vt:lpwstr/>
  </property>
</Properties>
</file>