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89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465"/>
        <w:gridCol w:w="9462"/>
      </w:tblGrid>
      <w:tr>
        <w:trPr>
          <w:trHeight w:val="1121" w:hRule="atLeast"/>
        </w:trPr>
        <w:tc>
          <w:tcPr>
            <w:tcW w:w="94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  <w:t xml:space="preserve">     </w:t>
            </w:r>
            <w:r>
              <w:rPr/>
              <w:object>
                <v:shape id="ole_rId2" style="width:81.6pt;height:60.5pt" o:ole="">
                  <v:imagedata r:id="rId3" o:title=""/>
                </v:shape>
                <o:OLEObject Type="Embed" ProgID="Word.Picture.8" ShapeID="ole_rId2" DrawAspect="Content" ObjectID="_53212967" r:id="rId2"/>
              </w:object>
            </w:r>
          </w:p>
        </w:tc>
        <w:tc>
          <w:tcPr>
            <w:tcW w:w="94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</w:r>
          </w:p>
        </w:tc>
      </w:tr>
      <w:tr>
        <w:trPr>
          <w:trHeight w:val="439" w:hRule="atLeast"/>
        </w:trPr>
        <w:tc>
          <w:tcPr>
            <w:tcW w:w="94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bCs/>
                <w:sz w:val="24"/>
                <w:szCs w:val="24"/>
              </w:rPr>
              <w:t>ΕΛΛΗΝΙΚΗ ΔΗΜΟΚΡΑΤΙΑ                                        ΑΝΑΡΤΗΤΕΑ ΣΤΟ ΔΙΑΔΙΚΤΥΟ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bCs/>
                <w:sz w:val="24"/>
                <w:szCs w:val="24"/>
              </w:rPr>
              <w:t xml:space="preserve">ΥΠΟΥΡΓΕΙΟ ΕΡΓΑΣΙΑΣ                   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bCs/>
                <w:sz w:val="24"/>
                <w:szCs w:val="24"/>
              </w:rPr>
              <w:t>ΚΑΙ ΚΟΙΝΩΝΙΚΩΝ ΥΠΟΘΕΣΕΩΝ                                 Αθήνα,                         /2020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13" w:hanging="0"/>
              <w:jc w:val="both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Segoe UI"/>
                <w:b/>
                <w:bCs/>
                <w:sz w:val="24"/>
                <w:szCs w:val="24"/>
              </w:rPr>
              <w:t>ΓΕΝΙΚΗ Δ/ΝΣΗ ΕΡΓΑΣΙΑΚΩΝ ΣΧΕΣΕΩΝ                   Α.Π :οικ.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bCs/>
                <w:sz w:val="24"/>
                <w:szCs w:val="24"/>
              </w:rPr>
              <w:t>ΥΓΕΙΑΣ ΚΑΙ ΑΣΦΑΛΕΙΑΣ ΣΤΗΝ ΕΡΓΑΣΙΑ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bCs/>
                <w:sz w:val="24"/>
                <w:szCs w:val="24"/>
              </w:rPr>
              <w:t xml:space="preserve">ΚΑΙ ΕΝΤΑΞΗΣ ΣΤΗΝ ΕΡΓΑΣΙΑ                                   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bCs/>
                <w:sz w:val="24"/>
                <w:szCs w:val="24"/>
              </w:rPr>
              <w:t>Δ/ΝΣΗ ΕΝΤΑΞΗΣ ΣΤΗΝ ΕΡΓΑΣΙΑ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bCs/>
                <w:sz w:val="24"/>
                <w:szCs w:val="24"/>
              </w:rPr>
              <w:t>ΤΜΗΜΑ Ι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Calibri" w:hAnsi="Calibri" w:cs="Segoe UI" w:ascii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Segoe UI"/>
                <w:b/>
                <w:bCs/>
                <w:sz w:val="24"/>
                <w:szCs w:val="24"/>
              </w:rPr>
            </w:r>
          </w:p>
        </w:tc>
        <w:tc>
          <w:tcPr>
            <w:tcW w:w="9462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Segoe UI" w:hAnsi="Segoe UI" w:cs="Segoe UI"/>
                <w:b/>
                <w:b/>
              </w:rPr>
            </w:pPr>
            <w:r>
              <w:rPr>
                <w:rFonts w:cs="Segoe UI" w:ascii="Segoe UI" w:hAnsi="Segoe UI"/>
                <w:b/>
              </w:rPr>
            </w:r>
          </w:p>
        </w:tc>
      </w:tr>
      <w:tr>
        <w:trPr>
          <w:trHeight w:val="293" w:hRule="atLeast"/>
        </w:trPr>
        <w:tc>
          <w:tcPr>
            <w:tcW w:w="94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Calibri" w:hAnsi="Calibri" w:cs="Segoe UI" w:ascii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Segoe UI"/>
                <w:b/>
                <w:bCs/>
                <w:sz w:val="24"/>
                <w:szCs w:val="24"/>
              </w:rPr>
            </w:r>
          </w:p>
        </w:tc>
        <w:tc>
          <w:tcPr>
            <w:tcW w:w="9462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both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</w:r>
          </w:p>
        </w:tc>
      </w:tr>
      <w:tr>
        <w:trPr>
          <w:trHeight w:val="1243" w:hRule="atLeast"/>
        </w:trPr>
        <w:tc>
          <w:tcPr>
            <w:tcW w:w="94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Calibri" w:hAnsi="Calibri" w:cs="Segoe UI" w:asciiTheme="minorHAnsi" w:hAnsiTheme="minorHAnsi"/>
              </w:rPr>
            </w:pPr>
            <w:r>
              <w:rPr>
                <w:rFonts w:cs="Segoe UI"/>
                <w:b/>
                <w:bCs/>
                <w:sz w:val="24"/>
                <w:szCs w:val="24"/>
              </w:rPr>
              <w:t xml:space="preserve">Ταχ. Δ/νση: Σταδίου 29 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Segoe UI"/>
                <w:b/>
                <w:bCs/>
                <w:sz w:val="24"/>
                <w:szCs w:val="24"/>
              </w:rPr>
              <w:t>Ταχ. Κώδικας: 10110</w:t>
            </w:r>
          </w:p>
        </w:tc>
        <w:tc>
          <w:tcPr>
            <w:tcW w:w="94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17" w:right="113" w:hanging="0"/>
              <w:rPr>
                <w:rFonts w:ascii="Segoe UI" w:hAnsi="Segoe UI" w:cs="Segoe UI"/>
              </w:rPr>
            </w:pPr>
            <w:r>
              <w:rPr>
                <w:rFonts w:cs="Segoe UI" w:ascii="Segoe UI" w:hAnsi="Segoe UI"/>
              </w:rPr>
            </w:r>
          </w:p>
        </w:tc>
      </w:tr>
    </w:tbl>
    <w:p>
      <w:pPr>
        <w:pStyle w:val="Normal"/>
        <w:spacing w:lineRule="auto" w:line="240" w:before="0" w:after="0"/>
        <w:ind w:right="113" w:hanging="0"/>
        <w:jc w:val="center"/>
        <w:rPr>
          <w:rFonts w:cs="Segoe UI"/>
          <w:b/>
          <w:b/>
          <w:sz w:val="24"/>
          <w:szCs w:val="24"/>
        </w:rPr>
      </w:pPr>
      <w:r>
        <w:rPr>
          <w:rFonts w:cs="Segoe UI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113" w:right="113" w:hanging="0"/>
        <w:jc w:val="center"/>
        <w:rPr>
          <w:rFonts w:cs="Segoe UI"/>
          <w:b/>
          <w:b/>
        </w:rPr>
      </w:pPr>
      <w:r>
        <w:rPr>
          <w:rFonts w:cs="Segoe UI"/>
          <w:b/>
          <w:sz w:val="24"/>
          <w:szCs w:val="24"/>
        </w:rPr>
        <w:t xml:space="preserve">ΑΠΟΦΑΣΗ </w:t>
      </w:r>
    </w:p>
    <w:p>
      <w:pPr>
        <w:pStyle w:val="Normal"/>
        <w:spacing w:lineRule="auto" w:line="240" w:before="0" w:after="0"/>
        <w:ind w:left="113" w:right="113" w:hanging="0"/>
        <w:jc w:val="center"/>
        <w:rPr>
          <w:rFonts w:cs="Segoe UI"/>
          <w:b/>
          <w:b/>
          <w:sz w:val="24"/>
          <w:szCs w:val="24"/>
        </w:rPr>
      </w:pPr>
      <w:r>
        <w:rPr>
          <w:rFonts w:cs="Segoe UI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113" w:right="113" w:hanging="0"/>
        <w:jc w:val="center"/>
        <w:rPr>
          <w:rFonts w:cs="Segoe UI"/>
          <w:b/>
          <w:b/>
        </w:rPr>
      </w:pPr>
      <w:r>
        <w:rPr>
          <w:rFonts w:cs="Segoe UI"/>
          <w:b/>
          <w:sz w:val="24"/>
          <w:szCs w:val="24"/>
        </w:rPr>
        <w:t xml:space="preserve"> </w:t>
      </w:r>
      <w:r>
        <w:rPr>
          <w:rFonts w:cs="Segoe UI"/>
          <w:b/>
          <w:sz w:val="24"/>
          <w:szCs w:val="24"/>
        </w:rPr>
        <w:t>ΟΙ ΥΠΟΥΡΓΟΙ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32"/>
        <w:gridCol w:w="3927"/>
        <w:gridCol w:w="2563"/>
      </w:tblGrid>
      <w:tr>
        <w:trPr/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Segoe UI"/>
                <w:b/>
                <w:b/>
              </w:rPr>
            </w:pPr>
            <w:r>
              <w:rPr>
                <w:rFonts w:cs="Segoe UI"/>
                <w:b/>
                <w:sz w:val="24"/>
                <w:szCs w:val="24"/>
              </w:rPr>
              <w:t>Οικονομικών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Segoe UI"/>
                <w:b/>
                <w:b/>
              </w:rPr>
            </w:pPr>
            <w:r>
              <w:rPr>
                <w:rFonts w:cs="Segoe UI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Segoe U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</w:tc>
        <w:tc>
          <w:tcPr>
            <w:tcW w:w="39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Segoe UI"/>
                <w:b/>
                <w:b/>
              </w:rPr>
            </w:pPr>
            <w:r>
              <w:rPr>
                <w:rFonts w:cs="Segoe UI"/>
                <w:b/>
                <w:sz w:val="24"/>
                <w:szCs w:val="24"/>
              </w:rPr>
              <w:t>Εργασίας και Κοινωνικών Υποθέσεων</w:t>
            </w:r>
          </w:p>
        </w:tc>
        <w:tc>
          <w:tcPr>
            <w:tcW w:w="25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Segoe UI"/>
                <w:b/>
                <w:b/>
              </w:rPr>
            </w:pPr>
            <w:r>
              <w:rPr>
                <w:rFonts w:cs="Segoe UI"/>
                <w:b/>
                <w:sz w:val="24"/>
                <w:szCs w:val="24"/>
              </w:rPr>
              <w:t xml:space="preserve">Εσωτερικών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Segoe U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</w:tc>
      </w:tr>
      <w:tr>
        <w:trPr/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Segoe U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Segoe U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</w:tc>
        <w:tc>
          <w:tcPr>
            <w:tcW w:w="39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Segoe U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</w:tc>
        <w:tc>
          <w:tcPr>
            <w:tcW w:w="25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Segoe U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13" w:hanging="0"/>
        <w:jc w:val="both"/>
        <w:rPr>
          <w:rFonts w:ascii="Arial" w:hAnsi="Arial" w:cs="Segoe UI"/>
          <w:b/>
          <w:b/>
          <w:sz w:val="24"/>
          <w:szCs w:val="24"/>
        </w:rPr>
      </w:pPr>
      <w:r>
        <w:rPr>
          <w:rFonts w:cs="Segoe UI" w:ascii="Arial" w:hAnsi="Arial"/>
          <w:b/>
          <w:sz w:val="24"/>
          <w:szCs w:val="24"/>
        </w:rPr>
      </w:r>
    </w:p>
    <w:p>
      <w:pPr>
        <w:pStyle w:val="21"/>
        <w:spacing w:lineRule="auto" w:line="276"/>
        <w:ind w:left="0" w:right="-57" w:hanging="0"/>
        <w:rPr>
          <w:rFonts w:ascii="Calibri" w:hAnsi="Calibri" w:asciiTheme="minorHAnsi" w:hAnsiTheme="minorHAnsi"/>
          <w:szCs w:val="24"/>
        </w:rPr>
      </w:pPr>
      <w:r>
        <w:rPr>
          <w:rFonts w:cs="Segoe UI" w:ascii="Calibri" w:hAnsi="Calibri" w:asciiTheme="minorHAnsi" w:hAnsiTheme="minorHAnsi"/>
          <w:szCs w:val="24"/>
        </w:rPr>
        <w:t xml:space="preserve">ΘΕΜΑ: </w:t>
      </w:r>
      <w:r>
        <w:rPr>
          <w:rFonts w:cs="Arial" w:ascii="Calibri" w:hAnsi="Calibri" w:asciiTheme="minorHAnsi" w:hAnsiTheme="minorHAnsi"/>
          <w:szCs w:val="24"/>
        </w:rPr>
        <w:t>Χορήγηση εφάπαξ οικονομικής ενίσχυσης ύψους τετρακοσίων (400) ευρώ σε μη επιδοτούμενους μακροχρόνια ανέργους</w:t>
      </w:r>
    </w:p>
    <w:p>
      <w:pPr>
        <w:pStyle w:val="Normal"/>
        <w:spacing w:before="0" w:after="0"/>
        <w:ind w:right="113" w:hanging="0"/>
        <w:jc w:val="both"/>
        <w:rPr>
          <w:rFonts w:ascii="Calibri" w:hAnsi="Calibri" w:cs="Segoe UI" w:asciiTheme="minorHAnsi" w:hAnsiTheme="minorHAnsi"/>
        </w:rPr>
      </w:pPr>
      <w:r>
        <w:rPr>
          <w:rFonts w:cs="Segoe UI"/>
        </w:rPr>
      </w:r>
    </w:p>
    <w:p>
      <w:pPr>
        <w:pStyle w:val="Normal"/>
        <w:spacing w:before="0" w:after="0"/>
        <w:ind w:right="113" w:hanging="0"/>
        <w:jc w:val="both"/>
        <w:rPr>
          <w:rFonts w:ascii="Calibri" w:hAnsi="Calibri" w:cs="Segoe UI" w:asciiTheme="minorHAnsi" w:hAnsiTheme="minorHAnsi"/>
        </w:rPr>
      </w:pPr>
      <w:r>
        <w:rPr>
          <w:rFonts w:cs="Segoe UI"/>
          <w:sz w:val="24"/>
          <w:szCs w:val="24"/>
        </w:rPr>
        <w:t xml:space="preserve">Έχοντας υπόψη: </w:t>
      </w:r>
    </w:p>
    <w:p>
      <w:pPr>
        <w:pStyle w:val="HTMLPreformatted"/>
        <w:numPr>
          <w:ilvl w:val="0"/>
          <w:numId w:val="2"/>
        </w:numPr>
        <w:ind w:left="426" w:hanging="360"/>
        <w:jc w:val="both"/>
        <w:rPr>
          <w:rFonts w:ascii="Calibri" w:hAnsi="Calibri" w:eastAsia="Calibri" w:cs="Segoe UI" w:asciiTheme="minorHAnsi" w:hAnsiTheme="minorHAnsi"/>
          <w:bCs/>
          <w:sz w:val="22"/>
          <w:szCs w:val="22"/>
          <w:lang w:eastAsia="en-US"/>
        </w:rPr>
      </w:pPr>
      <w:r>
        <w:rPr>
          <w:rFonts w:eastAsia="Calibri" w:cs="Segoe UI" w:ascii="Calibri" w:hAnsi="Calibri" w:asciiTheme="minorHAnsi" w:hAnsiTheme="minorHAnsi"/>
          <w:bCs/>
          <w:sz w:val="24"/>
          <w:szCs w:val="24"/>
          <w:lang w:eastAsia="en-US"/>
        </w:rPr>
        <w:t>το άρθρο 74 παρ.1β του ν. 3746/2009  «Ταμείο Εγγύησης Καταθέσεων και Επενδύσεων (ΤΕΚΕ), ενσωμάτωση των Οδηγιών 2005/14/ΕΚ για την υποχρεωτική ασφάλιση οχημάτων και 2005/68/ΕΚ σχετικά με τις αντασφαλίσεις και λοιπές διατάξεις» (Α’ 27),</w:t>
      </w:r>
    </w:p>
    <w:p>
      <w:pPr>
        <w:pStyle w:val="HTMLPreformatted"/>
        <w:numPr>
          <w:ilvl w:val="0"/>
          <w:numId w:val="2"/>
        </w:numPr>
        <w:ind w:left="426" w:hanging="360"/>
        <w:jc w:val="both"/>
        <w:rPr>
          <w:rFonts w:ascii="Calibri" w:hAnsi="Calibri" w:eastAsia="Calibri" w:cs="Segoe UI" w:asciiTheme="minorHAnsi" w:hAnsiTheme="minorHAnsi"/>
          <w:bCs/>
          <w:sz w:val="22"/>
          <w:szCs w:val="22"/>
          <w:lang w:eastAsia="en-US"/>
        </w:rPr>
      </w:pPr>
      <w:r>
        <w:rPr>
          <w:rFonts w:eastAsia="Calibri" w:cs="Segoe UI" w:ascii="Calibri" w:hAnsi="Calibri" w:asciiTheme="minorHAnsi" w:hAnsiTheme="minorHAnsi"/>
          <w:bCs/>
          <w:sz w:val="24"/>
          <w:szCs w:val="24"/>
          <w:lang w:eastAsia="en-US"/>
        </w:rPr>
        <w:t>τον ν. 1545 /1985  «Εθνικό σύστημα προστασίας  από  την  ανεργία  και  άλλες διατάξεις» (Α' 91),</w:t>
      </w:r>
    </w:p>
    <w:p>
      <w:pPr>
        <w:pStyle w:val="HTMLPreformatted"/>
        <w:numPr>
          <w:ilvl w:val="0"/>
          <w:numId w:val="2"/>
        </w:numPr>
        <w:ind w:left="426" w:hanging="360"/>
        <w:jc w:val="both"/>
        <w:rPr>
          <w:rFonts w:ascii="Calibri" w:hAnsi="Calibri" w:eastAsia="Calibri" w:cs="Segoe UI" w:asciiTheme="minorHAnsi" w:hAnsiTheme="minorHAnsi"/>
          <w:bCs/>
          <w:sz w:val="22"/>
          <w:szCs w:val="22"/>
          <w:lang w:eastAsia="en-US"/>
        </w:rPr>
      </w:pPr>
      <w:r>
        <w:rPr>
          <w:rFonts w:eastAsia="Calibri" w:cs="Segoe UI" w:ascii="Calibri" w:hAnsi="Calibri" w:asciiTheme="minorHAnsi" w:hAnsiTheme="minorHAnsi"/>
          <w:bCs/>
          <w:sz w:val="24"/>
          <w:szCs w:val="24"/>
          <w:lang w:eastAsia="en-US"/>
        </w:rPr>
        <w:t>τον ν. 2956/2001 «Αναδιάρθρωση Ο.Α.Ε.Δ. και άλλες διατάξεις» (Α’ 258),</w:t>
      </w:r>
    </w:p>
    <w:p>
      <w:pPr>
        <w:pStyle w:val="HTMLPreformatted"/>
        <w:numPr>
          <w:ilvl w:val="0"/>
          <w:numId w:val="2"/>
        </w:numPr>
        <w:ind w:left="426" w:hanging="360"/>
        <w:jc w:val="both"/>
        <w:rPr>
          <w:rFonts w:ascii="Calibri" w:hAnsi="Calibri" w:eastAsia="Calibri" w:cs="Segoe UI" w:asciiTheme="minorHAnsi" w:hAnsiTheme="minorHAnsi"/>
          <w:bCs/>
          <w:sz w:val="22"/>
          <w:szCs w:val="22"/>
          <w:lang w:eastAsia="en-US"/>
        </w:rPr>
      </w:pPr>
      <w:r>
        <w:rPr>
          <w:rFonts w:eastAsia="Calibri" w:cs="Segoe UI" w:ascii="Calibri" w:hAnsi="Calibri" w:asciiTheme="minorHAnsi" w:hAnsiTheme="minorHAnsi"/>
          <w:bCs/>
          <w:sz w:val="24"/>
          <w:szCs w:val="24"/>
          <w:lang w:eastAsia="en-US"/>
        </w:rPr>
        <w:t xml:space="preserve">τον ν. 4270/2014 «Αρχές δημοσιονομικής διαχείρισης και εποπτείας (ενσωμάτωση της Οδηγίας 2011/85/ΕΕ) - δημόσιο λογιστικό και άλλες διατάξεις» (Α’ 143), </w:t>
      </w:r>
    </w:p>
    <w:p>
      <w:pPr>
        <w:pStyle w:val="HTMLPreformatted"/>
        <w:numPr>
          <w:ilvl w:val="0"/>
          <w:numId w:val="2"/>
        </w:numPr>
        <w:ind w:left="426" w:hanging="360"/>
        <w:jc w:val="both"/>
        <w:rPr>
          <w:rFonts w:ascii="Calibri" w:hAnsi="Calibri" w:eastAsia="Calibri" w:cs="Segoe UI" w:asciiTheme="minorHAnsi" w:hAnsiTheme="minorHAnsi"/>
          <w:bCs/>
          <w:sz w:val="22"/>
          <w:szCs w:val="22"/>
          <w:lang w:eastAsia="en-US"/>
        </w:rPr>
      </w:pPr>
      <w:r>
        <w:rPr>
          <w:rFonts w:eastAsia="Calibri" w:cs="Segoe UI" w:ascii="Calibri" w:hAnsi="Calibri" w:asciiTheme="minorHAnsi" w:hAnsiTheme="minorHAnsi"/>
          <w:bCs/>
          <w:sz w:val="24"/>
          <w:szCs w:val="24"/>
          <w:lang w:eastAsia="en-US"/>
        </w:rPr>
        <w:t>το άρθρο 92 του ν .4461/2017 «Μεταρρύθμιση της Διοικητικής Οργάνωσης των υπηρεσιών ψυχικής υγείας, Κέντρα Εμπειρογνωμοσύνης σπάνιων και πολύπλοκων νοσημάτων, τροποποίηση συνταξιοδοτικών ρυθμίσεων του ν. 4387/2016 και άλλες διατάξεις» (Α΄ 38),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ind w:left="360" w:right="113" w:hanging="360"/>
        <w:jc w:val="both"/>
        <w:rPr>
          <w:rFonts w:ascii="Calibri" w:hAnsi="Calibri" w:cs="Segoe UI" w:asciiTheme="minorHAnsi" w:hAnsiTheme="minorHAnsi"/>
          <w:bCs/>
        </w:rPr>
      </w:pPr>
      <w:r>
        <w:rPr>
          <w:rFonts w:cs="Segoe UI"/>
          <w:bCs/>
          <w:sz w:val="24"/>
          <w:szCs w:val="24"/>
        </w:rPr>
        <w:t>τον ν.4622/2019 «Επιτελικό Κράτος: Οργάνωση, λειτουργία και διαφάνεια της Κυβέρνησης των Κυβερνητικών Οργάνων και της κεντρικής Δημόσιας Διοίκησης» (Α΄ 133),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το άρθρο 90 του κώδικα νομοθεσίας για την Κυβέρνηση και τα κυβερνητικά όργανα, που κυρώθηκε με το άρθρο πρώτο του π.δ. 63/2005 Κωδικοποίηση της νομοθεσίας για την Κυβέρνηση και τα κυβερνητικά όργανα (Α΄ 98), όπως ισχύει και διατηρήθηκε σε ισχύ με την παρ. 22 του άρθρου 119 του ν. 4622/2019 (Α΄ 133), 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ind w:left="360" w:right="113" w:hanging="360"/>
        <w:jc w:val="both"/>
        <w:rPr>
          <w:rFonts w:ascii="Calibri" w:hAnsi="Calibri" w:cs="Segoe UI" w:asciiTheme="minorHAnsi" w:hAnsiTheme="minorHAnsi"/>
          <w:bCs/>
        </w:rPr>
      </w:pPr>
      <w:r>
        <w:rPr>
          <w:rFonts w:cs="Segoe UI"/>
          <w:bCs/>
          <w:sz w:val="24"/>
          <w:szCs w:val="24"/>
        </w:rPr>
        <w:t>την παρ. 2 του άρθρου 12 του π.δ. 80/2016 «Ανάληψη υποχρεώσεων από τους διατάκτες» (Α’ 145),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ind w:left="360" w:right="113" w:hanging="360"/>
        <w:jc w:val="both"/>
        <w:rPr>
          <w:rFonts w:ascii="Calibri" w:hAnsi="Calibri" w:cs="Segoe UI" w:asciiTheme="minorHAnsi" w:hAnsiTheme="minorHAnsi"/>
          <w:bCs/>
        </w:rPr>
      </w:pPr>
      <w:r>
        <w:rPr>
          <w:rFonts w:cs="Segoe UI"/>
          <w:bCs/>
          <w:sz w:val="24"/>
          <w:szCs w:val="24"/>
        </w:rPr>
        <w:t>το π.δ. 81/2019 «Σύσταση, συγχώνευση, μετονομασία και κατάργηση Υπουργείων και καθορισμός των αρμοδιοτήτων τους – Μεταφορά υπηρεσιών και αρμοδιοτήτων μεταξύ Υπουργείων» (Α΄ 119),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ind w:left="360" w:right="113" w:hanging="360"/>
        <w:jc w:val="both"/>
        <w:rPr>
          <w:rFonts w:ascii="Calibri" w:hAnsi="Calibri" w:cs="Segoe UI" w:asciiTheme="minorHAnsi" w:hAnsiTheme="minorHAnsi"/>
          <w:bCs/>
        </w:rPr>
      </w:pPr>
      <w:r>
        <w:rPr>
          <w:rFonts w:cs="Segoe UI"/>
          <w:bCs/>
          <w:sz w:val="24"/>
          <w:szCs w:val="24"/>
        </w:rPr>
        <w:t>το π.δ. 83/2019 «Διορισμός Αντιπροέδρου της Κυβέρνησης, Υπουργών, Αναπληρωτών Υπουργών και Υφυπουργών (Α΄ 121),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ind w:left="360" w:right="113" w:hanging="360"/>
        <w:jc w:val="both"/>
        <w:rPr>
          <w:rFonts w:ascii="Calibri" w:hAnsi="Calibri" w:cs="Segoe UI" w:asciiTheme="minorHAnsi" w:hAnsiTheme="minorHAnsi"/>
          <w:bCs/>
        </w:rPr>
      </w:pPr>
      <w:r>
        <w:rPr>
          <w:rFonts w:cs="Segoe UI"/>
          <w:bCs/>
          <w:sz w:val="24"/>
          <w:szCs w:val="24"/>
        </w:rPr>
        <w:t xml:space="preserve">το π.δ. 84/2019 «Σύσταση και κατάργηση Γενικών Γραμματειών και Ειδικών Γραμματειών/ Ενιαίων Διοικητικών Τομέων Υπουργείων» (Α΄ 123), 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ind w:left="360" w:right="113" w:hanging="360"/>
        <w:jc w:val="both"/>
        <w:rPr>
          <w:rFonts w:ascii="Calibri" w:hAnsi="Calibri" w:cs="Segoe UI" w:asciiTheme="minorHAnsi" w:hAnsiTheme="minorHAnsi"/>
          <w:bCs/>
        </w:rPr>
      </w:pPr>
      <w:r>
        <w:rPr>
          <w:rFonts w:cs="Segoe UI"/>
          <w:bCs/>
          <w:sz w:val="24"/>
          <w:szCs w:val="24"/>
        </w:rPr>
        <w:t xml:space="preserve">το π.δ. 134/2017 «Οργανισμός Υπουργείου Εργασίας, Κοινωνικής Ασφάλισης και Κοινωνικής Αλληλεγγύης» (Α’ 168), 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ind w:left="360" w:right="113" w:hanging="360"/>
        <w:jc w:val="both"/>
        <w:rPr>
          <w:rFonts w:ascii="Calibri" w:hAnsi="Calibri" w:cs="Segoe UI" w:asciiTheme="minorHAnsi" w:hAnsiTheme="minorHAnsi"/>
          <w:bCs/>
        </w:rPr>
      </w:pPr>
      <w:r>
        <w:rPr>
          <w:rFonts w:cs="Segoe UI"/>
          <w:bCs/>
          <w:sz w:val="24"/>
          <w:szCs w:val="24"/>
        </w:rPr>
        <w:t>το π.δ. 141/2017 «Οργανισμός Υπουργείου Εσωτερικών» (Α’ 180),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ind w:left="360" w:right="113" w:hanging="360"/>
        <w:jc w:val="both"/>
        <w:rPr>
          <w:rFonts w:ascii="Calibri" w:hAnsi="Calibri" w:cs="Segoe UI" w:asciiTheme="minorHAnsi" w:hAnsiTheme="minorHAnsi"/>
          <w:bCs/>
        </w:rPr>
      </w:pPr>
      <w:r>
        <w:rPr>
          <w:rFonts w:cs="Segoe UI"/>
          <w:bCs/>
          <w:sz w:val="24"/>
          <w:szCs w:val="24"/>
        </w:rPr>
        <w:t>το π.δ. 142/2017 «Οργανισμός του Υπουργείου Οικονομικών» (Α’ 181),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cs="Segoe UI" w:asciiTheme="minorHAnsi" w:hAnsiTheme="minorHAnsi"/>
          <w:bCs/>
        </w:rPr>
      </w:pPr>
      <w:r>
        <w:rPr>
          <w:rFonts w:cs="Segoe UI"/>
          <w:bCs/>
          <w:sz w:val="24"/>
          <w:szCs w:val="24"/>
        </w:rPr>
        <w:t>τη με αριθμ. Υ70/30-10-2020 απόφαση Πρωθυπουργού «Ανάθεση αρμοδιοτήτων στον Αναπληρωτή Υπουργό Οικονομικών, Θεόδωρο Σκυλακάκη» (Β΄4805),</w:t>
      </w:r>
    </w:p>
    <w:p>
      <w:pPr>
        <w:pStyle w:val="21"/>
        <w:numPr>
          <w:ilvl w:val="0"/>
          <w:numId w:val="2"/>
        </w:numPr>
        <w:spacing w:lineRule="auto" w:line="276"/>
        <w:ind w:left="360" w:right="-57" w:hanging="360"/>
        <w:rPr>
          <w:rFonts w:ascii="Calibri" w:hAnsi="Calibri" w:asciiTheme="minorHAnsi" w:hAnsiTheme="minorHAnsi"/>
          <w:b w:val="false"/>
          <w:b w:val="false"/>
          <w:szCs w:val="24"/>
        </w:rPr>
      </w:pPr>
      <w:r>
        <w:rPr>
          <w:rFonts w:ascii="Calibri" w:hAnsi="Calibri" w:asciiTheme="minorHAnsi" w:hAnsiTheme="minorHAnsi"/>
          <w:b w:val="false"/>
          <w:szCs w:val="24"/>
        </w:rPr>
        <w:t xml:space="preserve">τη με αριθμ. </w:t>
      </w:r>
      <w:r>
        <w:rPr>
          <w:rFonts w:cs="Segoe UI" w:ascii="Calibri" w:hAnsi="Calibri" w:asciiTheme="minorHAnsi" w:hAnsiTheme="minorHAnsi"/>
          <w:b w:val="false"/>
          <w:bCs/>
          <w:szCs w:val="24"/>
        </w:rPr>
        <w:t>οικ. 5687/282/16-4-2020  κοινή υπουργική απόφαση  «</w:t>
      </w:r>
      <w:r>
        <w:rPr>
          <w:rFonts w:cs="Arial" w:ascii="Calibri" w:hAnsi="Calibri" w:asciiTheme="minorHAnsi" w:hAnsiTheme="minorHAnsi"/>
          <w:b w:val="false"/>
          <w:szCs w:val="24"/>
        </w:rPr>
        <w:t xml:space="preserve">Χορήγηση εφάπαξ οικονομικής ενίσχυσης ύψους τετρακοσίων (400) ευρώ σε μη επιδοτούμενους μακροχρόνια ανέργους» </w:t>
      </w:r>
      <w:r>
        <w:rPr>
          <w:rFonts w:cs="Segoe UI" w:ascii="Calibri" w:hAnsi="Calibri" w:asciiTheme="minorHAnsi" w:hAnsiTheme="minorHAnsi"/>
          <w:b w:val="false"/>
          <w:bCs/>
          <w:szCs w:val="24"/>
        </w:rPr>
        <w:t>(Β’ 1468),</w:t>
      </w:r>
    </w:p>
    <w:p>
      <w:pPr>
        <w:pStyle w:val="ListParagraph"/>
        <w:widowControl w:val="false"/>
        <w:numPr>
          <w:ilvl w:val="0"/>
          <w:numId w:val="2"/>
        </w:numPr>
        <w:spacing w:before="0" w:after="0"/>
        <w:ind w:left="360" w:right="113" w:hanging="360"/>
        <w:contextualSpacing/>
        <w:jc w:val="both"/>
        <w:rPr>
          <w:rFonts w:ascii="Calibri" w:hAnsi="Calibri" w:eastAsia="Times New Roman" w:cs="Arial" w:asciiTheme="minorHAnsi" w:hAnsiTheme="minorHAnsi"/>
          <w:sz w:val="24"/>
          <w:szCs w:val="24"/>
          <w:lang w:eastAsia="zh-CN"/>
        </w:rPr>
      </w:pPr>
      <w:r>
        <w:rPr>
          <w:rFonts w:cs="Segoe UI"/>
          <w:bCs/>
          <w:sz w:val="24"/>
          <w:szCs w:val="24"/>
        </w:rPr>
        <w:t xml:space="preserve"> </w:t>
      </w:r>
      <w:r>
        <w:rPr>
          <w:rFonts w:cs="Segoe UI"/>
          <w:bCs/>
          <w:sz w:val="24"/>
          <w:szCs w:val="24"/>
        </w:rPr>
        <w:t xml:space="preserve">τις με  αριθμ. πρωτ. 1554/19-11-2020 (ΑΔΑ: 6ΛΩ04691Ω2-ΒΕ9), αριθμ.πρωτ.1993/19-11-2020 (ΑΔΑ: ΩΔΧ34691Ω2-9ΗΟ), αριθμ.πρωτ. 1249/19-11-2020 (ΑΔΑ: 6Τ904691Ω2-72Σ), αριθμ.πρωτ. 947/19-11-2020 (ΑΔΑ:ΩΛ264691Ω2-6ΡΤ), αριθμ.πρωτ. 809/19-11-2020 (ΑΔΑ: Ψ96Α4691Ω2-Ε9Ρ), αριθμ.πρωτ. 823/19-11-2020 (ΑΔΑ: ΩΕΧΜ4691Ω2-ΠΧΦ) , αριθμ.πρωτ.2804/19-11-2020(ΑΔΑ: Ω08Ν4691Ω2-ΝΟΒ) </w:t>
      </w:r>
      <w:r>
        <w:rPr>
          <w:rFonts w:eastAsia="Times New Roman" w:cs="Arial"/>
          <w:sz w:val="24"/>
          <w:szCs w:val="24"/>
          <w:lang w:eastAsia="zh-CN"/>
        </w:rPr>
        <w:t>αποφάσεις των Περιφερειακών Διευθύνσεων του ΟΑΕΔ περί  έγκρισης δέσμευσης πίστωσης.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ind w:left="360" w:right="113" w:hanging="36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cs="Segoe UI"/>
          <w:bCs/>
          <w:sz w:val="24"/>
          <w:szCs w:val="24"/>
        </w:rPr>
        <w:t>τη με αριθ. 71822/19-11-2020 βεβαίωση δέσμευσης πίστωσης της Δ/νσης Οικονομικών Υπηρεσιών του ΟΑΕΔ,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ind w:left="426" w:right="113" w:hanging="426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cs="Segoe UI"/>
          <w:bCs/>
          <w:sz w:val="24"/>
          <w:szCs w:val="24"/>
        </w:rPr>
        <w:t>τη με αριθμ. πρωτ.οικ. 45663/2433/19-11-2020 εισήγηση της  Γενικής Διεύθυνσης Οικονομικών Υπηρεσιών του Υπουργείου Εργασίας και Κοινωνικών  Υποθέσεων,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ind w:left="426" w:right="113" w:hanging="426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cs="Segoe UI"/>
          <w:bCs/>
          <w:sz w:val="24"/>
          <w:szCs w:val="24"/>
        </w:rPr>
        <w:t>το γεγονός ότι οι μακροχρόνια άνεργοι οι οποίοι δεν λαμβάνουν το επίδομα των μακροχρονίως ανέργων πλήττονται ιδιαίτερα  από τις επιπτώσεις στην αγορά εργασίας του κορωνοϊού COVID-19, λαμβανομένης υπόψη της τρέχουσας επιδημιολογικής επιβάρυνσης της Χώρας,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426"/>
        <w:contextualSpacing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cs="Segoe UI"/>
          <w:bCs/>
          <w:sz w:val="24"/>
          <w:szCs w:val="24"/>
        </w:rPr>
        <w:t>το γεγονός ότι από τις διατάξεις της παρούσας  προκαλείται  δαπάνη ύψους πενήντα δύο εκατομμυρίων ευρώ (52.000.000 €) σε βάρος του προϋπολογισμού του ΟΑΕΔ, η οποία καλύπτεται από τις εγγεγραμμένες πιστώσεις στον ΚΑΕ 0659.00 οικονομικού έτους 2020.</w:t>
      </w:r>
    </w:p>
    <w:p>
      <w:pPr>
        <w:pStyle w:val="Normal"/>
        <w:widowControl w:val="false"/>
        <w:spacing w:before="0" w:after="0"/>
        <w:ind w:right="113" w:hanging="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</w:p>
    <w:p>
      <w:pPr>
        <w:pStyle w:val="ListParagraph"/>
        <w:spacing w:lineRule="auto" w:line="240" w:before="0" w:after="0"/>
        <w:ind w:left="113" w:right="113" w:hanging="0"/>
        <w:contextualSpacing/>
        <w:jc w:val="center"/>
        <w:rPr>
          <w:rFonts w:ascii="Calibri" w:hAnsi="Calibri" w:cs="Segoe UI" w:asciiTheme="minorHAnsi" w:hAnsiTheme="minorHAnsi"/>
          <w:b/>
          <w:b/>
          <w:spacing w:val="46"/>
        </w:rPr>
      </w:pPr>
      <w:bookmarkStart w:id="0" w:name="OLE_LINK2"/>
      <w:bookmarkStart w:id="1" w:name="OLE_LINK1"/>
      <w:bookmarkEnd w:id="0"/>
      <w:bookmarkEnd w:id="1"/>
      <w:r>
        <w:rPr>
          <w:rFonts w:cs="Segoe UI"/>
          <w:b/>
          <w:spacing w:val="46"/>
          <w:sz w:val="24"/>
          <w:szCs w:val="24"/>
        </w:rPr>
        <w:t>Αποφασίζουμε</w:t>
      </w:r>
    </w:p>
    <w:p>
      <w:pPr>
        <w:pStyle w:val="ListParagraph"/>
        <w:spacing w:lineRule="auto" w:line="240" w:before="0" w:after="0"/>
        <w:ind w:left="113" w:right="113" w:hanging="0"/>
        <w:contextualSpacing/>
        <w:jc w:val="center"/>
        <w:rPr>
          <w:rFonts w:ascii="Calibri" w:hAnsi="Calibri" w:cs="Segoe UI" w:asciiTheme="minorHAnsi" w:hAnsiTheme="minorHAnsi"/>
          <w:b/>
          <w:b/>
          <w:bCs/>
          <w:sz w:val="24"/>
          <w:szCs w:val="24"/>
          <w:u w:val="single"/>
        </w:rPr>
      </w:pPr>
      <w:r>
        <w:rPr>
          <w:rFonts w:cs="Segoe UI"/>
          <w:b/>
          <w:bCs/>
          <w:sz w:val="24"/>
          <w:szCs w:val="24"/>
          <w:u w:val="single"/>
        </w:rPr>
      </w:r>
    </w:p>
    <w:p>
      <w:pPr>
        <w:pStyle w:val="Normal"/>
        <w:tabs>
          <w:tab w:val="clear" w:pos="567"/>
          <w:tab w:val="left" w:pos="6551" w:leader="none"/>
        </w:tabs>
        <w:spacing w:before="0" w:after="120"/>
        <w:ind w:right="-58" w:hanging="0"/>
        <w:jc w:val="center"/>
        <w:rPr>
          <w:rFonts w:ascii="Calibri" w:hAnsi="Calibri" w:cs="Segoe UI" w:asciiTheme="minorHAnsi" w:hAnsiTheme="minorHAnsi"/>
          <w:b/>
          <w:b/>
          <w:bCs/>
        </w:rPr>
      </w:pPr>
      <w:r>
        <w:rPr>
          <w:rFonts w:cs="Segoe UI"/>
          <w:b/>
          <w:bCs/>
          <w:sz w:val="24"/>
          <w:szCs w:val="24"/>
        </w:rPr>
        <w:t>Άρθρο 1</w:t>
      </w:r>
    </w:p>
    <w:p>
      <w:pPr>
        <w:pStyle w:val="Normal"/>
        <w:tabs>
          <w:tab w:val="clear" w:pos="567"/>
          <w:tab w:val="left" w:pos="6551" w:leader="none"/>
        </w:tabs>
        <w:spacing w:before="0" w:after="120"/>
        <w:ind w:right="-58" w:hanging="0"/>
        <w:jc w:val="center"/>
        <w:rPr>
          <w:rFonts w:ascii="Calibri" w:hAnsi="Calibri" w:cs="Segoe UI" w:asciiTheme="minorHAnsi" w:hAnsiTheme="minorHAnsi"/>
          <w:bCs/>
        </w:rPr>
      </w:pPr>
      <w:r>
        <w:rPr>
          <w:rStyle w:val="IntenseEmphasis"/>
          <w:rFonts w:cs="Segoe UI"/>
          <w:color w:val="000000"/>
          <w:sz w:val="24"/>
          <w:szCs w:val="24"/>
          <w:highlight w:val="white"/>
        </w:rPr>
        <w:t>Χορήγηση εφάπαξ οικονομικής ενίσχυση σε κάθε μη επιδοτούμενο μακροχρόνια άνεργο</w:t>
      </w:r>
    </w:p>
    <w:p>
      <w:pPr>
        <w:pStyle w:val="Normal"/>
        <w:tabs>
          <w:tab w:val="clear" w:pos="567"/>
          <w:tab w:val="left" w:pos="6551" w:leader="none"/>
        </w:tabs>
        <w:spacing w:before="0" w:after="120"/>
        <w:ind w:right="-58" w:hanging="0"/>
        <w:jc w:val="both"/>
        <w:rPr>
          <w:rFonts w:ascii="Calibri" w:hAnsi="Calibri" w:asciiTheme="minorHAnsi" w:hAnsiTheme="minorHAnsi"/>
        </w:rPr>
      </w:pPr>
      <w:r>
        <w:rPr>
          <w:rFonts w:cs="Segoe UI"/>
          <w:bCs/>
          <w:sz w:val="24"/>
          <w:szCs w:val="24"/>
        </w:rPr>
        <w:t xml:space="preserve">Εγκρίνουμε τη χορήγηση από τον ΟΑΕΔ εφάπαξ οικονομικής ενίσχυσης ύψους τετρακοσίων ευρώ (400,00 €) σε κάθε μη επιδοτούμενο μακροχρόνια άνεργο, εγγεγραμμένο στο μητρώο ανέργων του ΟΑΕΔ, που αποκτά την ιδιότητα του μακροχρόνια ανέργου από 1/3/2020 </w:t>
      </w:r>
      <w:r>
        <w:rPr>
          <w:rFonts w:cs="Segoe UI"/>
          <w:sz w:val="24"/>
          <w:szCs w:val="24"/>
        </w:rPr>
        <w:t xml:space="preserve">έως και </w:t>
      </w:r>
      <w:r>
        <w:rPr>
          <w:rFonts w:cs="Segoe UI"/>
          <w:bCs/>
          <w:sz w:val="24"/>
          <w:szCs w:val="24"/>
        </w:rPr>
        <w:t>τη δημοσίευση της παρούσας, εξαιρουμένων όσων έλαβαν την εφάπαξ οικονομική ενίσχυση της με αριθμ.οικ. 5687/282/16-4-2020 κοινής υπουργικής απόφασης (Β</w:t>
      </w:r>
      <w:bookmarkStart w:id="2" w:name="__DdeLink__166_2067860766"/>
      <w:r>
        <w:rPr>
          <w:rFonts w:cs="Segoe UI"/>
          <w:bCs/>
          <w:sz w:val="24"/>
          <w:szCs w:val="24"/>
        </w:rPr>
        <w:t>’ 1468)</w:t>
      </w:r>
      <w:bookmarkEnd w:id="2"/>
      <w:r>
        <w:rPr>
          <w:rFonts w:cs="Segoe UI"/>
          <w:bCs/>
          <w:sz w:val="24"/>
          <w:szCs w:val="24"/>
        </w:rPr>
        <w:t>.</w:t>
      </w:r>
    </w:p>
    <w:p>
      <w:pPr>
        <w:pStyle w:val="Normal"/>
        <w:tabs>
          <w:tab w:val="clear" w:pos="567"/>
          <w:tab w:val="left" w:pos="6551" w:leader="none"/>
        </w:tabs>
        <w:spacing w:before="0" w:after="120"/>
        <w:ind w:right="-58" w:hanging="0"/>
        <w:jc w:val="center"/>
        <w:rPr>
          <w:rFonts w:ascii="Calibri" w:hAnsi="Calibri" w:cs="Segoe UI" w:asciiTheme="minorHAnsi" w:hAnsiTheme="minorHAnsi"/>
          <w:bCs/>
        </w:rPr>
      </w:pPr>
      <w:r>
        <w:rPr>
          <w:rFonts w:cs="Segoe UI"/>
          <w:bCs/>
        </w:rPr>
      </w:r>
    </w:p>
    <w:p>
      <w:pPr>
        <w:pStyle w:val="Normal"/>
        <w:tabs>
          <w:tab w:val="clear" w:pos="567"/>
          <w:tab w:val="left" w:pos="6551" w:leader="none"/>
        </w:tabs>
        <w:spacing w:before="0" w:after="120"/>
        <w:ind w:right="-58" w:hanging="0"/>
        <w:jc w:val="center"/>
        <w:rPr>
          <w:rFonts w:ascii="Calibri" w:hAnsi="Calibri" w:asciiTheme="minorHAnsi" w:hAnsiTheme="minorHAnsi"/>
          <w:b/>
          <w:b/>
        </w:rPr>
      </w:pPr>
      <w:r>
        <w:rPr>
          <w:rFonts w:cs="Segoe UI"/>
          <w:b/>
          <w:bCs/>
          <w:sz w:val="24"/>
          <w:szCs w:val="24"/>
        </w:rPr>
        <w:t>Άρθρο 2</w:t>
      </w:r>
    </w:p>
    <w:p>
      <w:pPr>
        <w:pStyle w:val="Normal"/>
        <w:tabs>
          <w:tab w:val="clear" w:pos="567"/>
          <w:tab w:val="left" w:pos="6551" w:leader="none"/>
        </w:tabs>
        <w:spacing w:before="0" w:after="120"/>
        <w:ind w:right="-58" w:hanging="0"/>
        <w:jc w:val="center"/>
        <w:rPr>
          <w:rFonts w:ascii="Calibri" w:hAnsi="Calibri" w:asciiTheme="minorHAnsi" w:hAnsiTheme="minorHAnsi"/>
          <w:b/>
          <w:b/>
        </w:rPr>
      </w:pPr>
      <w:r>
        <w:rPr>
          <w:rStyle w:val="IntenseEmphasis"/>
          <w:rFonts w:cs="Segoe UI"/>
          <w:color w:val="000000"/>
          <w:sz w:val="24"/>
          <w:szCs w:val="24"/>
          <w:highlight w:val="white"/>
        </w:rPr>
        <w:t>Διαδικασία καταβολής της  οικονομικής ενίσχυσης</w:t>
      </w:r>
    </w:p>
    <w:p>
      <w:pPr>
        <w:pStyle w:val="Style14"/>
        <w:spacing w:before="0" w:after="120"/>
        <w:ind w:right="-58" w:hanging="0"/>
        <w:jc w:val="both"/>
        <w:rPr>
          <w:rFonts w:ascii="Calibri" w:hAnsi="Calibri" w:asciiTheme="minorHAnsi" w:hAnsiTheme="minorHAnsi"/>
        </w:rPr>
      </w:pPr>
      <w:r>
        <w:rPr>
          <w:rFonts w:cs="Segoe UI"/>
          <w:bCs/>
          <w:color w:val="000000"/>
          <w:sz w:val="24"/>
          <w:szCs w:val="24"/>
        </w:rPr>
        <w:tab/>
        <w:t xml:space="preserve">1. Η καταβολή της οικονομικής ενίσχυσης του άρθρου 1  πραγματοποιείται από τον ΟΑΕΔ κατόπιν έγκρισης από το ΔΣ του Οργανισμού, μετά από οίκοθεν έλεγχο στο μητρώο ανέργων και σχετική εισήγηση των αρμοδίων Διευθύνσεων, </w:t>
      </w:r>
    </w:p>
    <w:p>
      <w:pPr>
        <w:pStyle w:val="Style14"/>
        <w:shd w:val="clear" w:color="auto" w:fill="FFFFFF"/>
        <w:spacing w:before="0" w:after="0"/>
        <w:jc w:val="both"/>
        <w:rPr>
          <w:rFonts w:ascii="Calibri" w:hAnsi="Calibri" w:asciiTheme="minorHAnsi" w:hAnsiTheme="minorHAnsi"/>
          <w:color w:val="000000"/>
          <w:sz w:val="24"/>
          <w:szCs w:val="24"/>
          <w:u w:val="single"/>
        </w:rPr>
      </w:pPr>
      <w:r>
        <w:rPr>
          <w:rFonts w:asciiTheme="minorHAnsi" w:hAnsiTheme="minorHAnsi"/>
          <w:color w:val="000000"/>
          <w:sz w:val="24"/>
          <w:szCs w:val="24"/>
        </w:rPr>
        <w:tab/>
        <w:t>2. Από τον οίκοθεν έλεγχο του ΟΑΕΔ διαπιστώνονται για κάθε δικαιούχο τα παρακάτω στοιχεία:</w:t>
      </w:r>
    </w:p>
    <w:p>
      <w:pPr>
        <w:pStyle w:val="Style14"/>
        <w:shd w:val="clear" w:color="auto" w:fill="FFFFFF"/>
        <w:spacing w:before="0" w:after="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color w:val="000000"/>
          <w:sz w:val="24"/>
          <w:szCs w:val="24"/>
        </w:rPr>
        <w:t>α) Η διατήρηση της ιδιότητας του μακροχρόνια άνεργου κατά τη δημοσίευση της παρούσας,</w:t>
      </w:r>
    </w:p>
    <w:p>
      <w:pPr>
        <w:pStyle w:val="Style14"/>
        <w:shd w:val="clear" w:color="auto" w:fill="FFFFFF"/>
        <w:spacing w:before="0" w:after="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color w:val="000000"/>
          <w:sz w:val="24"/>
          <w:szCs w:val="24"/>
        </w:rPr>
        <w:t>β) το ονοματεπώνυμο, το πατρώνυμο και το μητρώνυμο,</w:t>
      </w:r>
    </w:p>
    <w:p>
      <w:pPr>
        <w:pStyle w:val="Style14"/>
        <w:shd w:val="clear" w:color="auto" w:fill="FFFFFF"/>
        <w:spacing w:before="0" w:after="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color w:val="000000"/>
          <w:sz w:val="24"/>
          <w:szCs w:val="24"/>
        </w:rPr>
        <w:t>γ) ο αριθμός δελτίου αστυνομικής ταυτότητας ή διαβατηρίου.</w:t>
      </w:r>
    </w:p>
    <w:p>
      <w:pPr>
        <w:pStyle w:val="Style14"/>
        <w:shd w:val="clear" w:color="auto" w:fill="FFFFFF"/>
        <w:spacing w:before="0" w:after="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δ) ο αριθμός μητρώου κοινωνικής ασφάλισης (AMΚΑ), </w:t>
      </w:r>
    </w:p>
    <w:p>
      <w:pPr>
        <w:pStyle w:val="Style14"/>
        <w:shd w:val="clear" w:color="auto" w:fill="FFFFFF"/>
        <w:spacing w:before="0" w:after="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ε) ο αριθμός φορολογικού μητρώου (ΑΦΜ), </w:t>
      </w:r>
    </w:p>
    <w:p>
      <w:pPr>
        <w:pStyle w:val="Style14"/>
        <w:shd w:val="clear" w:color="auto" w:fill="FFFFFF"/>
        <w:spacing w:before="0" w:after="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color w:val="000000"/>
          <w:sz w:val="24"/>
          <w:szCs w:val="24"/>
        </w:rPr>
        <w:t>στ) ο αριθμός του ατομικού ή κοινού τραπεζικού λογαριασμού, καθώς και ο διεθνής αριθμός του τραπεζικού λογαριασμού (IBAN).</w:t>
      </w:r>
    </w:p>
    <w:p>
      <w:pPr>
        <w:pStyle w:val="Style14"/>
        <w:shd w:val="clear" w:color="auto" w:fill="FFFFFF"/>
        <w:spacing w:before="195" w:after="195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color w:val="000000"/>
          <w:sz w:val="24"/>
          <w:szCs w:val="24"/>
        </w:rPr>
        <w:tab/>
        <w:t>3. Οι δικαιούχοι οφείλουν να επικαιροποιήσουν τα ως άνω στοιχεία στην ηλεκτρονική πλατφόρμα του ΟΑΕΔ εντός χρονικού διαστήματος που θα ορίσει ο ΟΑΕΔ.</w:t>
      </w:r>
    </w:p>
    <w:p>
      <w:pPr>
        <w:pStyle w:val="Normal"/>
        <w:jc w:val="both"/>
        <w:rPr>
          <w:rFonts w:ascii="Calibri" w:hAnsi="Calibri" w:asciiTheme="minorHAnsi" w:hAnsiTheme="minorHAnsi"/>
        </w:rPr>
      </w:pPr>
      <w:r>
        <w:rPr>
          <w:rFonts w:cs="Arial"/>
          <w:i/>
          <w:iCs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5. Η καταβολή της  </w:t>
      </w:r>
      <w:r>
        <w:rPr>
          <w:rFonts w:cs="Segoe UI"/>
          <w:bCs/>
          <w:sz w:val="24"/>
          <w:szCs w:val="24"/>
        </w:rPr>
        <w:t>εφάπαξ οικονομικής ενίσχυσης ολοκληρώνεται την 31/12/2020.</w:t>
      </w:r>
    </w:p>
    <w:p>
      <w:pPr>
        <w:pStyle w:val="Normal"/>
        <w:jc w:val="both"/>
        <w:rPr>
          <w:rFonts w:ascii="Calibri" w:hAnsi="Calibri" w:cs="Segoe UI" w:asciiTheme="minorHAnsi" w:hAnsiTheme="minorHAnsi"/>
          <w:bCs/>
          <w:sz w:val="24"/>
          <w:szCs w:val="24"/>
        </w:rPr>
      </w:pPr>
      <w:r>
        <w:rPr>
          <w:rFonts w:cs="Segoe UI"/>
          <w:bCs/>
          <w:sz w:val="24"/>
          <w:szCs w:val="24"/>
        </w:rPr>
      </w:r>
    </w:p>
    <w:p>
      <w:pPr>
        <w:pStyle w:val="Style14"/>
        <w:shd w:val="clear" w:color="auto" w:fill="FFFFFF"/>
        <w:spacing w:before="0" w:after="0"/>
        <w:jc w:val="center"/>
        <w:rPr>
          <w:rFonts w:ascii="Calibri" w:hAnsi="Calibri" w:asciiTheme="minorHAnsi" w:hAnsiTheme="minorHAnsi"/>
        </w:rPr>
      </w:pPr>
      <w:r>
        <w:rPr>
          <w:rStyle w:val="IntenseEmphasis"/>
          <w:rFonts w:asciiTheme="minorHAnsi" w:hAnsiTheme="minorHAnsi"/>
          <w:color w:val="000000"/>
          <w:sz w:val="24"/>
          <w:szCs w:val="24"/>
        </w:rPr>
        <w:t>Άρθρο 3</w:t>
      </w:r>
    </w:p>
    <w:p>
      <w:pPr>
        <w:pStyle w:val="Style14"/>
        <w:shd w:val="clear" w:color="auto" w:fill="FFFFFF"/>
        <w:spacing w:before="0" w:after="0"/>
        <w:jc w:val="center"/>
        <w:rPr>
          <w:rFonts w:ascii="Calibri" w:hAnsi="Calibri" w:asciiTheme="minorHAnsi" w:hAnsiTheme="minorHAnsi"/>
        </w:rPr>
      </w:pPr>
      <w:r>
        <w:rPr>
          <w:rStyle w:val="IntenseEmphasis"/>
          <w:rFonts w:asciiTheme="minorHAnsi" w:hAnsiTheme="minorHAnsi"/>
          <w:color w:val="000000"/>
          <w:sz w:val="24"/>
          <w:szCs w:val="24"/>
        </w:rPr>
        <w:t>Αχρεωστήτως καταβληθέντα</w:t>
      </w:r>
    </w:p>
    <w:p>
      <w:pPr>
        <w:pStyle w:val="Style14"/>
        <w:shd w:val="clear" w:color="auto" w:fill="FFFFFF"/>
        <w:spacing w:before="195" w:after="195"/>
        <w:jc w:val="both"/>
        <w:rPr>
          <w:rFonts w:ascii="Calibri" w:hAnsi="Calibri"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Τυχόν αχρεωστήτως καταβληθέντα ποσά καταλογίζονται σε βάρος του ανοικείως λαβόντος, με απόφαση του ΔΣ του ΟΑΕΔ και εισπράττονται κατά τις διατάξεις του ΚΕΔΕ.</w:t>
      </w:r>
    </w:p>
    <w:p>
      <w:pPr>
        <w:pStyle w:val="Normal"/>
        <w:tabs>
          <w:tab w:val="clear" w:pos="567"/>
          <w:tab w:val="left" w:pos="6551" w:leader="none"/>
        </w:tabs>
        <w:spacing w:before="0" w:after="120"/>
        <w:ind w:right="-58" w:hanging="0"/>
        <w:rPr>
          <w:rFonts w:ascii="Calibri" w:hAnsi="Calibri" w:cs="Segoe UI" w:asciiTheme="minorHAnsi" w:hAnsiTheme="minorHAnsi"/>
          <w:bCs/>
          <w:sz w:val="24"/>
          <w:szCs w:val="24"/>
        </w:rPr>
      </w:pPr>
      <w:r>
        <w:rPr>
          <w:rFonts w:cs="Segoe UI"/>
          <w:bCs/>
          <w:sz w:val="24"/>
          <w:szCs w:val="24"/>
        </w:rPr>
      </w:r>
    </w:p>
    <w:p>
      <w:pPr>
        <w:pStyle w:val="Normal"/>
        <w:tabs>
          <w:tab w:val="clear" w:pos="567"/>
          <w:tab w:val="left" w:pos="6551" w:leader="none"/>
        </w:tabs>
        <w:spacing w:before="0" w:after="120"/>
        <w:ind w:right="-58" w:hanging="0"/>
        <w:rPr>
          <w:rFonts w:ascii="Calibri" w:hAnsi="Calibri" w:asciiTheme="minorHAnsi" w:hAnsiTheme="minorHAnsi"/>
        </w:rPr>
      </w:pPr>
      <w:r>
        <w:rPr>
          <w:rFonts w:cs="Segoe UI"/>
          <w:bCs/>
          <w:sz w:val="24"/>
          <w:szCs w:val="24"/>
        </w:rPr>
        <w:t>Η απόφαση αυτή ισχύει από τη δημοσίευσή της στην Εφημερίδα της Κυβερνήσεως.</w:t>
      </w:r>
    </w:p>
    <w:p>
      <w:pPr>
        <w:pStyle w:val="Normal"/>
        <w:tabs>
          <w:tab w:val="clear" w:pos="567"/>
          <w:tab w:val="left" w:pos="6551" w:leader="none"/>
        </w:tabs>
        <w:spacing w:before="0" w:after="120"/>
        <w:ind w:right="-58" w:hanging="0"/>
        <w:rPr>
          <w:rFonts w:ascii="Calibri" w:hAnsi="Calibri" w:cs="Segoe UI" w:asciiTheme="minorHAnsi" w:hAnsiTheme="minorHAnsi"/>
          <w:bCs/>
          <w:sz w:val="24"/>
          <w:szCs w:val="24"/>
        </w:rPr>
      </w:pPr>
      <w:r>
        <w:rPr>
          <w:rFonts w:cs="Segoe UI"/>
          <w:bCs/>
          <w:sz w:val="24"/>
          <w:szCs w:val="24"/>
        </w:rPr>
      </w:r>
    </w:p>
    <w:p>
      <w:pPr>
        <w:pStyle w:val="Normal"/>
        <w:tabs>
          <w:tab w:val="clear" w:pos="567"/>
          <w:tab w:val="left" w:pos="6551" w:leader="none"/>
        </w:tabs>
        <w:spacing w:before="0" w:after="120"/>
        <w:ind w:right="-58" w:hanging="0"/>
        <w:rPr>
          <w:rFonts w:ascii="Calibri" w:hAnsi="Calibri" w:cs="Segoe UI" w:asciiTheme="minorHAnsi" w:hAnsiTheme="minorHAnsi"/>
          <w:bCs/>
        </w:rPr>
      </w:pPr>
      <w:r>
        <w:rPr>
          <w:rFonts w:cs="Segoe UI"/>
          <w:bCs/>
          <w:sz w:val="24"/>
          <w:szCs w:val="24"/>
        </w:rPr>
        <w:t>Η απόφαση αυτή να δημοσιευθεί στην Εφημερίδα της Κυβερνήσεως.</w:t>
      </w:r>
    </w:p>
    <w:p>
      <w:pPr>
        <w:pStyle w:val="Normal"/>
        <w:spacing w:before="0" w:after="0"/>
        <w:ind w:right="113" w:hanging="0"/>
        <w:jc w:val="both"/>
        <w:rPr>
          <w:rFonts w:ascii="Calibri" w:hAnsi="Calibri" w:cs="Segoe UI" w:asciiTheme="minorHAnsi" w:hAnsiTheme="minorHAnsi"/>
          <w:sz w:val="24"/>
          <w:szCs w:val="24"/>
        </w:rPr>
      </w:pPr>
      <w:r>
        <w:rPr>
          <w:rFonts w:cs="Segoe UI"/>
          <w:sz w:val="24"/>
          <w:szCs w:val="24"/>
        </w:rPr>
      </w:r>
    </w:p>
    <w:p>
      <w:pPr>
        <w:pStyle w:val="Normal"/>
        <w:spacing w:lineRule="auto" w:line="240" w:before="0" w:after="0"/>
        <w:ind w:right="113" w:hanging="0"/>
        <w:jc w:val="both"/>
        <w:rPr>
          <w:rFonts w:ascii="Calibri" w:hAnsi="Calibri" w:cs="Segoe UI" w:asciiTheme="minorHAnsi" w:hAnsiTheme="minorHAnsi"/>
          <w:sz w:val="24"/>
          <w:szCs w:val="24"/>
        </w:rPr>
      </w:pPr>
      <w:r>
        <w:rPr>
          <w:rFonts w:cs="Segoe UI"/>
          <w:sz w:val="24"/>
          <w:szCs w:val="24"/>
        </w:rPr>
      </w:r>
    </w:p>
    <w:p>
      <w:pPr>
        <w:pStyle w:val="Normal"/>
        <w:spacing w:lineRule="auto" w:line="240" w:before="0" w:after="0"/>
        <w:ind w:right="113" w:hanging="0"/>
        <w:jc w:val="both"/>
        <w:rPr>
          <w:rFonts w:ascii="Calibri" w:hAnsi="Calibri" w:cs="Segoe UI" w:asciiTheme="minorHAnsi" w:hAnsiTheme="minorHAnsi"/>
          <w:sz w:val="24"/>
          <w:szCs w:val="24"/>
        </w:rPr>
      </w:pPr>
      <w:r>
        <w:rPr>
          <w:rFonts w:cs="Segoe UI"/>
          <w:sz w:val="24"/>
          <w:szCs w:val="24"/>
        </w:rPr>
      </w:r>
    </w:p>
    <w:p>
      <w:pPr>
        <w:pStyle w:val="Normal"/>
        <w:spacing w:lineRule="auto" w:line="240" w:before="0" w:after="0"/>
        <w:ind w:right="113" w:hanging="0"/>
        <w:jc w:val="both"/>
        <w:rPr>
          <w:rFonts w:ascii="Calibri" w:hAnsi="Calibri" w:cs="Segoe UI" w:asciiTheme="minorHAnsi" w:hAnsiTheme="minorHAnsi"/>
          <w:sz w:val="24"/>
          <w:szCs w:val="24"/>
        </w:rPr>
      </w:pPr>
      <w:r>
        <w:rPr>
          <w:rFonts w:cs="Segoe UI"/>
          <w:sz w:val="24"/>
          <w:szCs w:val="24"/>
        </w:rPr>
      </w:r>
    </w:p>
    <w:p>
      <w:pPr>
        <w:pStyle w:val="Normal"/>
        <w:spacing w:lineRule="auto" w:line="240" w:before="0" w:after="0"/>
        <w:ind w:right="113" w:hanging="0"/>
        <w:jc w:val="both"/>
        <w:rPr>
          <w:rFonts w:ascii="Calibri" w:hAnsi="Calibri" w:cs="Segoe UI" w:asciiTheme="minorHAnsi" w:hAnsiTheme="minorHAnsi"/>
          <w:sz w:val="24"/>
          <w:szCs w:val="24"/>
        </w:rPr>
      </w:pPr>
      <w:r>
        <w:rPr>
          <w:rFonts w:cs="Segoe UI"/>
          <w:sz w:val="24"/>
          <w:szCs w:val="24"/>
        </w:rPr>
      </w:r>
    </w:p>
    <w:p>
      <w:pPr>
        <w:pStyle w:val="ListParagraph"/>
        <w:spacing w:lineRule="auto" w:line="240" w:before="0" w:after="120"/>
        <w:ind w:left="113" w:right="113" w:firstLine="720"/>
        <w:contextualSpacing/>
        <w:rPr>
          <w:rFonts w:ascii="Calibri" w:hAnsi="Calibri" w:cs="Segoe UI" w:asciiTheme="minorHAnsi" w:hAnsiTheme="minorHAnsi"/>
          <w:b/>
          <w:b/>
        </w:rPr>
      </w:pPr>
      <w:r>
        <w:rPr>
          <w:rFonts w:cs="Segoe UI"/>
          <w:b/>
          <w:sz w:val="24"/>
          <w:szCs w:val="24"/>
        </w:rPr>
        <w:t xml:space="preserve">                                              </w:t>
      </w:r>
    </w:p>
    <w:p>
      <w:pPr>
        <w:pStyle w:val="ListParagraph"/>
        <w:spacing w:lineRule="auto" w:line="240" w:before="0" w:after="120"/>
        <w:ind w:left="113" w:right="113" w:firstLine="720"/>
        <w:contextualSpacing/>
        <w:rPr>
          <w:rFonts w:ascii="Calibri" w:hAnsi="Calibri" w:cs="Segoe UI" w:asciiTheme="minorHAnsi" w:hAnsiTheme="minorHAnsi"/>
          <w:b/>
          <w:b/>
          <w:sz w:val="24"/>
          <w:szCs w:val="24"/>
        </w:rPr>
      </w:pPr>
      <w:r>
        <w:rPr>
          <w:rFonts w:cs="Segoe UI"/>
          <w:b/>
          <w:sz w:val="24"/>
          <w:szCs w:val="24"/>
        </w:rPr>
      </w:r>
    </w:p>
    <w:p>
      <w:pPr>
        <w:pStyle w:val="ListParagraph"/>
        <w:spacing w:lineRule="auto" w:line="240" w:before="0" w:after="120"/>
        <w:ind w:left="113" w:right="113" w:firstLine="720"/>
        <w:contextualSpacing/>
        <w:rPr>
          <w:rFonts w:ascii="Calibri" w:hAnsi="Calibri" w:cs="Segoe UI" w:asciiTheme="minorHAnsi" w:hAnsiTheme="minorHAnsi"/>
          <w:b/>
          <w:b/>
        </w:rPr>
      </w:pPr>
      <w:r>
        <w:rPr>
          <w:rFonts w:cs="Segoe UI"/>
          <w:b/>
          <w:sz w:val="24"/>
          <w:szCs w:val="24"/>
        </w:rPr>
        <w:t xml:space="preserve">                                                       </w:t>
      </w:r>
      <w:r>
        <w:rPr>
          <w:rFonts w:cs="Segoe UI"/>
          <w:b/>
          <w:sz w:val="24"/>
          <w:szCs w:val="24"/>
        </w:rPr>
        <w:t>ΟΙ ΥΠΟΥΡΓΟΙ</w:t>
      </w:r>
    </w:p>
    <w:p>
      <w:pPr>
        <w:pStyle w:val="Normal"/>
        <w:spacing w:lineRule="auto" w:line="240" w:before="0" w:after="120"/>
        <w:ind w:right="113" w:hanging="0"/>
        <w:rPr>
          <w:rFonts w:ascii="Calibri" w:hAnsi="Calibri" w:cs="Segoe UI" w:asciiTheme="minorHAnsi" w:hAnsiTheme="minorHAnsi"/>
          <w:b/>
          <w:b/>
          <w:sz w:val="24"/>
          <w:szCs w:val="24"/>
        </w:rPr>
      </w:pPr>
      <w:r>
        <w:rPr>
          <w:rFonts w:cs="Segoe UI"/>
          <w:b/>
          <w:sz w:val="24"/>
          <w:szCs w:val="24"/>
        </w:rPr>
      </w:r>
    </w:p>
    <w:tbl>
      <w:tblPr>
        <w:tblW w:w="9759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1"/>
        <w:gridCol w:w="3189"/>
        <w:gridCol w:w="3181"/>
        <w:gridCol w:w="2946"/>
        <w:gridCol w:w="222"/>
      </w:tblGrid>
      <w:tr>
        <w:trPr>
          <w:trHeight w:val="466" w:hRule="atLeast"/>
        </w:trPr>
        <w:tc>
          <w:tcPr>
            <w:tcW w:w="22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</w:tc>
        <w:tc>
          <w:tcPr>
            <w:tcW w:w="318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sz w:val="24"/>
                <w:szCs w:val="24"/>
              </w:rPr>
              <w:t xml:space="preserve">Ο ΑΝΑΠΛΗΡΩΤΗΣ ΥΠΟΥΡΓΟΣ </w:t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sz w:val="24"/>
                <w:szCs w:val="24"/>
              </w:rPr>
              <w:t xml:space="preserve">ΟΙΚΟΝΟΜΙΚΩΝ  </w:t>
            </w:r>
          </w:p>
        </w:tc>
        <w:tc>
          <w:tcPr>
            <w:tcW w:w="318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sz w:val="24"/>
                <w:szCs w:val="24"/>
              </w:rPr>
              <w:t>Ο  ΥΠΟΥΡΓΟΣ ΕΡΓΑΣΙΑΣ</w:t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sz w:val="24"/>
                <w:szCs w:val="24"/>
              </w:rPr>
              <w:t>ΚΑΙ ΚΟΙΝΩΝΙΚΩΝ</w:t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sz w:val="24"/>
                <w:szCs w:val="24"/>
              </w:rPr>
              <w:t>ΥΠΟΘΕΣΕΩΝ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sz w:val="24"/>
                <w:szCs w:val="24"/>
              </w:rPr>
              <w:t xml:space="preserve">    </w:t>
            </w:r>
            <w:r>
              <w:rPr>
                <w:rFonts w:cs="Segoe UI"/>
                <w:b/>
                <w:sz w:val="24"/>
                <w:szCs w:val="24"/>
              </w:rPr>
              <w:t xml:space="preserve">Ο  ΥΠΟΥΡΓΟΣ  </w:t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sz w:val="24"/>
                <w:szCs w:val="24"/>
              </w:rPr>
              <w:t xml:space="preserve">         </w:t>
            </w:r>
            <w:r>
              <w:rPr>
                <w:rFonts w:cs="Segoe UI"/>
                <w:b/>
                <w:sz w:val="24"/>
                <w:szCs w:val="24"/>
              </w:rPr>
              <w:t xml:space="preserve">ΕΣΩΤΕΡΙΚΩΝ   </w:t>
            </w:r>
          </w:p>
        </w:tc>
        <w:tc>
          <w:tcPr>
            <w:tcW w:w="2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</w:tr>
      <w:tr>
        <w:trPr>
          <w:trHeight w:val="1547" w:hRule="atLeast"/>
        </w:trPr>
        <w:tc>
          <w:tcPr>
            <w:tcW w:w="22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  <w:tc>
          <w:tcPr>
            <w:tcW w:w="318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sz w:val="24"/>
                <w:szCs w:val="24"/>
              </w:rPr>
              <w:t xml:space="preserve">  </w:t>
            </w:r>
            <w:r>
              <w:rPr>
                <w:rFonts w:cs="Segoe UI"/>
                <w:b/>
                <w:sz w:val="24"/>
                <w:szCs w:val="24"/>
              </w:rPr>
              <w:t xml:space="preserve">ΘΕΟΔΩΡΟΣ </w:t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sz w:val="24"/>
                <w:szCs w:val="24"/>
              </w:rPr>
              <w:t>ΣΚΥΛΑΚΑΚΗΣ</w:t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</w:tc>
        <w:tc>
          <w:tcPr>
            <w:tcW w:w="318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  <w:sz w:val="24"/>
                <w:szCs w:val="24"/>
              </w:rPr>
              <w:t xml:space="preserve">       </w:t>
            </w:r>
            <w:r>
              <w:rPr>
                <w:rFonts w:cs="Segoe UI"/>
                <w:b/>
                <w:sz w:val="24"/>
                <w:szCs w:val="24"/>
              </w:rPr>
              <w:t xml:space="preserve">ΙΩΑΝΝΗΣ ΒΡΟΥΤΣΗΣ 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113" w:hanging="0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  <w:t>ΠΑΝΑΓΙΩΤΗΣ ΘΕΟΔΩΡΙΚΑΚΟΣ</w:t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</w:rPr>
            </w:pPr>
            <w:r>
              <w:rPr>
                <w:rFonts w:cs="Segoe U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left="113" w:right="113" w:hanging="0"/>
              <w:jc w:val="center"/>
              <w:rPr>
                <w:rFonts w:ascii="Calibri" w:hAnsi="Calibri" w:cs="Segoe U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</w:r>
          </w:p>
        </w:tc>
        <w:tc>
          <w:tcPr>
            <w:tcW w:w="2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</w:r>
          </w:p>
        </w:tc>
      </w:tr>
    </w:tbl>
    <w:p>
      <w:pPr>
        <w:pStyle w:val="ListParagraph"/>
        <w:spacing w:lineRule="auto" w:line="240" w:before="0" w:after="0"/>
        <w:ind w:left="113" w:right="113" w:firstLine="720"/>
        <w:contextualSpacing/>
        <w:rPr>
          <w:rFonts w:ascii="Calibri" w:hAnsi="Calibri" w:cs="Segoe UI" w:asciiTheme="minorHAnsi" w:hAnsiTheme="minorHAnsi"/>
          <w:b/>
          <w:b/>
          <w:sz w:val="24"/>
          <w:szCs w:val="24"/>
        </w:rPr>
      </w:pPr>
      <w:r>
        <w:rPr>
          <w:rFonts w:cs="Segoe UI"/>
          <w:b/>
          <w:sz w:val="24"/>
          <w:szCs w:val="24"/>
        </w:rPr>
        <w:t xml:space="preserve"> </w:t>
      </w:r>
    </w:p>
    <w:p>
      <w:pPr>
        <w:pStyle w:val="ListParagraph"/>
        <w:spacing w:lineRule="auto" w:line="240" w:before="0" w:after="0"/>
        <w:ind w:left="113" w:right="113" w:firstLine="720"/>
        <w:contextualSpacing/>
        <w:rPr>
          <w:rFonts w:ascii="Calibri" w:hAnsi="Calibri" w:cs="Segoe UI" w:asciiTheme="minorHAnsi" w:hAnsiTheme="minorHAnsi"/>
          <w:b/>
          <w:b/>
          <w:sz w:val="24"/>
          <w:szCs w:val="24"/>
        </w:rPr>
      </w:pPr>
      <w:r>
        <w:rPr>
          <w:rFonts w:cs="Segoe UI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113" w:right="113" w:firstLine="720"/>
        <w:contextualSpacing/>
        <w:rPr>
          <w:rFonts w:ascii="Calibri" w:hAnsi="Calibri" w:cs="Segoe UI" w:asciiTheme="minorHAnsi" w:hAnsiTheme="minorHAnsi"/>
          <w:b/>
          <w:b/>
          <w:sz w:val="24"/>
          <w:szCs w:val="24"/>
        </w:rPr>
      </w:pPr>
      <w:r>
        <w:rPr>
          <w:rFonts w:cs="Segoe UI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113" w:right="113" w:firstLine="720"/>
        <w:contextualSpacing/>
        <w:rPr>
          <w:rFonts w:ascii="Calibri" w:hAnsi="Calibri" w:cs="Segoe UI" w:asciiTheme="minorHAnsi" w:hAnsiTheme="minorHAnsi"/>
          <w:b/>
          <w:b/>
          <w:sz w:val="24"/>
          <w:szCs w:val="24"/>
        </w:rPr>
      </w:pPr>
      <w:r>
        <w:rPr>
          <w:rFonts w:cs="Segoe UI"/>
          <w:b/>
          <w:sz w:val="24"/>
          <w:szCs w:val="24"/>
        </w:rPr>
        <w:t xml:space="preserve">        </w:t>
      </w:r>
    </w:p>
    <w:p>
      <w:pPr>
        <w:pStyle w:val="ListParagraph"/>
        <w:spacing w:lineRule="auto" w:line="240" w:before="0" w:after="0"/>
        <w:ind w:left="113" w:right="113" w:firstLine="720"/>
        <w:contextualSpacing/>
        <w:rPr>
          <w:rFonts w:ascii="Calibri" w:hAnsi="Calibri" w:cs="Segoe UI" w:asciiTheme="minorHAnsi" w:hAnsiTheme="minorHAnsi"/>
          <w:b/>
          <w:b/>
          <w:sz w:val="24"/>
          <w:szCs w:val="24"/>
        </w:rPr>
      </w:pPr>
      <w:r>
        <w:rPr>
          <w:rFonts w:cs="Segoe UI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113" w:right="113" w:firstLine="720"/>
        <w:contextualSpacing/>
        <w:rPr>
          <w:rFonts w:ascii="Calibri" w:hAnsi="Calibri" w:cs="Segoe UI" w:asciiTheme="minorHAnsi" w:hAnsiTheme="minorHAnsi"/>
          <w:b/>
          <w:b/>
        </w:rPr>
      </w:pPr>
      <w:r>
        <w:rPr>
          <w:rFonts w:cs="Segoe UI"/>
          <w:b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ind w:right="113" w:hanging="0"/>
        <w:rPr>
          <w:rFonts w:ascii="Calibri" w:hAnsi="Calibri" w:cs="Segoe UI" w:asciiTheme="minorHAnsi" w:hAnsiTheme="minorHAnsi"/>
          <w:b/>
          <w:b/>
        </w:rPr>
      </w:pPr>
      <w:r>
        <w:rPr>
          <w:rFonts w:cs="Segoe UI"/>
          <w:b/>
        </w:rPr>
      </w:r>
    </w:p>
    <w:p>
      <w:pPr>
        <w:pStyle w:val="Normal"/>
        <w:spacing w:lineRule="auto" w:line="240" w:before="0" w:after="0"/>
        <w:ind w:right="113" w:hanging="0"/>
        <w:rPr>
          <w:rFonts w:ascii="Calibri" w:hAnsi="Calibri" w:cs="Segoe UI" w:asciiTheme="minorHAnsi" w:hAnsiTheme="minorHAnsi"/>
          <w:b/>
          <w:b/>
        </w:rPr>
      </w:pPr>
      <w:r>
        <w:rPr>
          <w:rFonts w:cs="Segoe UI"/>
          <w:b/>
        </w:rPr>
      </w:r>
    </w:p>
    <w:p>
      <w:pPr>
        <w:pStyle w:val="Normal"/>
        <w:spacing w:lineRule="auto" w:line="240" w:before="0" w:after="0"/>
        <w:ind w:right="113" w:hanging="0"/>
        <w:rPr>
          <w:rFonts w:ascii="Calibri" w:hAnsi="Calibri" w:cs="Segoe UI" w:asciiTheme="minorHAnsi" w:hAnsiTheme="minorHAnsi"/>
          <w:b/>
          <w:b/>
        </w:rPr>
      </w:pPr>
      <w:r>
        <w:rPr>
          <w:rFonts w:cs="Segoe UI"/>
          <w:b/>
          <w:sz w:val="24"/>
          <w:szCs w:val="24"/>
        </w:rPr>
        <w:t>ΚΟΙΝΟΠΟΙΗΣΗ: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73" w:right="113" w:hanging="360"/>
        <w:contextualSpacing/>
        <w:jc w:val="both"/>
        <w:rPr>
          <w:rFonts w:ascii="Calibri" w:hAnsi="Calibri" w:cs="Segoe UI" w:asciiTheme="minorHAnsi" w:hAnsiTheme="minorHAnsi"/>
        </w:rPr>
      </w:pPr>
      <w:r>
        <w:rPr>
          <w:rFonts w:cs="Segoe UI"/>
          <w:sz w:val="24"/>
          <w:szCs w:val="24"/>
        </w:rPr>
        <w:t>Εθνικό Τυπογραφείο (Για δημοσίευση)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73" w:right="113" w:hanging="360"/>
        <w:contextualSpacing/>
        <w:jc w:val="both"/>
        <w:rPr>
          <w:rFonts w:ascii="Calibri" w:hAnsi="Calibri" w:cs="Segoe UI" w:asciiTheme="minorHAnsi" w:hAnsiTheme="minorHAnsi"/>
        </w:rPr>
      </w:pPr>
      <w:r>
        <w:rPr>
          <w:rFonts w:cs="Segoe UI"/>
          <w:sz w:val="24"/>
          <w:szCs w:val="24"/>
        </w:rPr>
        <w:t>ΟΑΕΔ – Διοίκηση</w:t>
      </w:r>
    </w:p>
    <w:p>
      <w:pPr>
        <w:pStyle w:val="ListParagraph"/>
        <w:spacing w:lineRule="auto" w:line="240" w:before="0" w:after="0"/>
        <w:ind w:left="473" w:right="113" w:hanging="0"/>
        <w:contextualSpacing/>
        <w:jc w:val="both"/>
        <w:rPr>
          <w:rFonts w:ascii="Calibri" w:hAnsi="Calibri" w:cs="Segoe UI" w:asciiTheme="minorHAnsi" w:hAnsiTheme="minorHAnsi"/>
        </w:rPr>
      </w:pPr>
      <w:r>
        <w:rPr>
          <w:rFonts w:cs="Segoe UI"/>
          <w:sz w:val="24"/>
          <w:szCs w:val="24"/>
        </w:rPr>
        <w:t>α. Γραφείο  κ. Διοικητή</w:t>
      </w:r>
    </w:p>
    <w:p>
      <w:pPr>
        <w:pStyle w:val="ListParagraph"/>
        <w:spacing w:lineRule="auto" w:line="240" w:before="0" w:after="0"/>
        <w:ind w:left="473" w:right="113" w:hanging="0"/>
        <w:contextualSpacing/>
        <w:jc w:val="both"/>
        <w:rPr>
          <w:rFonts w:ascii="Calibri" w:hAnsi="Calibri" w:cs="Segoe UI" w:asciiTheme="minorHAnsi" w:hAnsiTheme="minorHAnsi"/>
        </w:rPr>
      </w:pPr>
      <w:r>
        <w:rPr>
          <w:rFonts w:cs="Segoe UI"/>
          <w:sz w:val="24"/>
          <w:szCs w:val="24"/>
        </w:rPr>
        <w:t>β. Δ/νση Α6</w:t>
      </w:r>
    </w:p>
    <w:p>
      <w:pPr>
        <w:pStyle w:val="ListParagraph"/>
        <w:spacing w:lineRule="auto" w:line="240" w:before="0" w:after="0"/>
        <w:ind w:left="473" w:right="113" w:hanging="0"/>
        <w:contextualSpacing/>
        <w:jc w:val="both"/>
        <w:rPr>
          <w:rFonts w:ascii="Calibri" w:hAnsi="Calibri" w:cs="Segoe UI" w:asciiTheme="minorHAnsi" w:hAnsiTheme="minorHAnsi"/>
          <w:sz w:val="24"/>
          <w:szCs w:val="24"/>
        </w:rPr>
      </w:pPr>
      <w:r>
        <w:rPr>
          <w:rFonts w:cs="Segoe UI"/>
          <w:sz w:val="24"/>
          <w:szCs w:val="24"/>
        </w:rPr>
      </w:r>
    </w:p>
    <w:p>
      <w:pPr>
        <w:pStyle w:val="ListParagraph"/>
        <w:spacing w:lineRule="auto" w:line="240" w:before="0" w:after="0"/>
        <w:ind w:left="113" w:right="113" w:hanging="0"/>
        <w:contextualSpacing/>
        <w:jc w:val="both"/>
        <w:rPr>
          <w:rFonts w:ascii="Calibri" w:hAnsi="Calibri" w:cs="Segoe UI" w:asciiTheme="minorHAnsi" w:hAnsiTheme="minorHAnsi"/>
          <w:b/>
          <w:b/>
        </w:rPr>
      </w:pPr>
      <w:r>
        <w:rPr>
          <w:rFonts w:cs="Segoe UI"/>
          <w:b/>
          <w:sz w:val="24"/>
          <w:szCs w:val="24"/>
        </w:rPr>
        <w:t>ΕΣΩΤΕΡΙΚΗ ΔΙΑΝΟΜΗ:</w:t>
      </w:r>
    </w:p>
    <w:p>
      <w:pPr>
        <w:pStyle w:val="ListParagraph"/>
        <w:numPr>
          <w:ilvl w:val="0"/>
          <w:numId w:val="1"/>
        </w:numPr>
        <w:tabs>
          <w:tab w:val="clear" w:pos="567"/>
          <w:tab w:val="left" w:pos="0" w:leader="none"/>
        </w:tabs>
        <w:spacing w:lineRule="auto" w:line="240" w:before="0" w:after="0"/>
        <w:ind w:left="113" w:right="113" w:hanging="0"/>
        <w:contextualSpacing/>
        <w:jc w:val="both"/>
        <w:rPr>
          <w:rFonts w:ascii="Calibri" w:hAnsi="Calibri" w:cs="Segoe UI" w:asciiTheme="minorHAnsi" w:hAnsiTheme="minorHAnsi"/>
        </w:rPr>
      </w:pPr>
      <w:r>
        <w:rPr>
          <w:rFonts w:cs="Segoe UI"/>
          <w:sz w:val="24"/>
          <w:szCs w:val="24"/>
        </w:rPr>
        <w:t>Γραφείο. κ. Υπουργού</w:t>
      </w:r>
    </w:p>
    <w:p>
      <w:pPr>
        <w:pStyle w:val="ListParagraph"/>
        <w:numPr>
          <w:ilvl w:val="0"/>
          <w:numId w:val="1"/>
        </w:numPr>
        <w:tabs>
          <w:tab w:val="clear" w:pos="567"/>
          <w:tab w:val="left" w:pos="0" w:leader="none"/>
        </w:tabs>
        <w:spacing w:lineRule="auto" w:line="240" w:before="0" w:after="0"/>
        <w:ind w:left="113" w:right="113" w:hanging="0"/>
        <w:contextualSpacing/>
        <w:jc w:val="both"/>
        <w:rPr>
          <w:rFonts w:ascii="Calibri" w:hAnsi="Calibri" w:cs="Segoe UI" w:asciiTheme="minorHAnsi" w:hAnsiTheme="minorHAnsi"/>
        </w:rPr>
      </w:pPr>
      <w:r>
        <w:rPr>
          <w:rFonts w:cs="Segoe UI"/>
          <w:sz w:val="24"/>
          <w:szCs w:val="24"/>
        </w:rPr>
        <w:t xml:space="preserve">Γραφείο. κ. Γεν. Γραμματέως  </w:t>
      </w:r>
    </w:p>
    <w:p>
      <w:pPr>
        <w:pStyle w:val="ListParagraph"/>
        <w:numPr>
          <w:ilvl w:val="0"/>
          <w:numId w:val="1"/>
        </w:numPr>
        <w:tabs>
          <w:tab w:val="clear" w:pos="567"/>
          <w:tab w:val="left" w:pos="0" w:leader="none"/>
        </w:tabs>
        <w:spacing w:lineRule="auto" w:line="240" w:before="0" w:after="0"/>
        <w:ind w:left="113" w:right="113" w:hanging="0"/>
        <w:contextualSpacing/>
        <w:jc w:val="both"/>
        <w:rPr>
          <w:rFonts w:ascii="Calibri" w:hAnsi="Calibri" w:cs="Segoe UI" w:asciiTheme="minorHAnsi" w:hAnsiTheme="minorHAnsi"/>
        </w:rPr>
      </w:pPr>
      <w:r>
        <w:rPr>
          <w:rFonts w:cs="Segoe UI"/>
          <w:sz w:val="24"/>
          <w:szCs w:val="24"/>
        </w:rPr>
        <w:t>Γραφείο. κ. Γεν. Δ/ντή Εργασιακών Σχέσεων</w:t>
      </w:r>
    </w:p>
    <w:p>
      <w:pPr>
        <w:pStyle w:val="ListParagraph"/>
        <w:tabs>
          <w:tab w:val="clear" w:pos="567"/>
          <w:tab w:val="left" w:pos="0" w:leader="none"/>
        </w:tabs>
        <w:spacing w:lineRule="auto" w:line="240" w:before="0" w:after="0"/>
        <w:ind w:left="567" w:right="113" w:hanging="0"/>
        <w:contextualSpacing/>
        <w:jc w:val="both"/>
        <w:rPr>
          <w:rFonts w:ascii="Segoe UI" w:hAnsi="Segoe UI" w:cs="Segoe UI"/>
        </w:rPr>
      </w:pPr>
      <w:r>
        <w:rPr>
          <w:rFonts w:cs="Segoe UI"/>
          <w:sz w:val="24"/>
          <w:szCs w:val="24"/>
        </w:rPr>
        <w:t>Υγείας και Ασφάλειας στην Εργασία και Ένταξης</w:t>
      </w:r>
      <w:r>
        <w:rPr>
          <w:rFonts w:cs="Segoe UI" w:ascii="Arial" w:hAnsi="Arial"/>
          <w:sz w:val="24"/>
          <w:szCs w:val="24"/>
        </w:rPr>
        <w:t xml:space="preserve"> στην Εργασία</w:t>
      </w:r>
    </w:p>
    <w:sectPr>
      <w:footerReference w:type="default" r:id="rId4"/>
      <w:type w:val="nextPage"/>
      <w:pgSz w:w="11906" w:h="16838"/>
      <w:pgMar w:left="1276" w:right="1416" w:header="0" w:top="1418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Tahoma">
    <w:charset w:val="a1"/>
    <w:family w:val="roman"/>
    <w:pitch w:val="variable"/>
  </w:font>
  <w:font w:name="Consolas">
    <w:charset w:val="a1"/>
    <w:family w:val="roman"/>
    <w:pitch w:val="variable"/>
  </w:font>
  <w:font w:name="Courier New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Segoe UI">
    <w:charset w:val="a1"/>
    <w:family w:val="roman"/>
    <w:pitch w:val="variable"/>
  </w:font>
  <w:font w:name="Arial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Style2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6"/>
  <w:defaultTabStop w:val="567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3af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el-GR" w:bidi="ar-SA"/>
    </w:rPr>
  </w:style>
  <w:style w:type="paragraph" w:styleId="2" w:customStyle="1">
    <w:name w:val="Heading 2"/>
    <w:basedOn w:val="Normal"/>
    <w:next w:val="Normal"/>
    <w:link w:val="2Char"/>
    <w:qFormat/>
    <w:rsid w:val="003a511b"/>
    <w:pPr>
      <w:keepNext w:val="true"/>
      <w:spacing w:lineRule="auto" w:line="360" w:before="0" w:after="0"/>
      <w:outlineLvl w:val="1"/>
    </w:pPr>
    <w:rPr>
      <w:rFonts w:ascii="Times New Roman" w:hAnsi="Times New Roman" w:eastAsia="Times New Roman"/>
      <w:b/>
      <w:bCs/>
      <w:sz w:val="24"/>
      <w:szCs w:val="24"/>
      <w:lang w:eastAsia="el-GR"/>
    </w:rPr>
  </w:style>
  <w:style w:type="paragraph" w:styleId="4" w:customStyle="1">
    <w:name w:val="Heading 4"/>
    <w:basedOn w:val="Normal"/>
    <w:next w:val="Normal"/>
    <w:link w:val="4Char"/>
    <w:qFormat/>
    <w:rsid w:val="003a511b"/>
    <w:pPr>
      <w:keepNext w:val="true"/>
      <w:spacing w:lineRule="auto" w:line="240" w:before="0" w:after="0"/>
      <w:jc w:val="both"/>
      <w:outlineLvl w:val="3"/>
    </w:pPr>
    <w:rPr>
      <w:rFonts w:ascii="Times New Roman" w:hAnsi="Times New Roman" w:eastAsia="Times New Roman"/>
      <w:b/>
      <w:bCs/>
      <w:sz w:val="28"/>
      <w:szCs w:val="24"/>
      <w:lang w:eastAsia="el-G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073af1"/>
    <w:rPr>
      <w:rFonts w:ascii="Tahoma" w:hAnsi="Tahoma" w:cs="Tahoma"/>
      <w:sz w:val="16"/>
      <w:szCs w:val="16"/>
    </w:rPr>
  </w:style>
  <w:style w:type="character" w:styleId="Char1" w:customStyle="1">
    <w:name w:val="Κεφαλίδα Char"/>
    <w:basedOn w:val="DefaultParagraphFont"/>
    <w:link w:val="Header"/>
    <w:uiPriority w:val="99"/>
    <w:semiHidden/>
    <w:qFormat/>
    <w:rsid w:val="00540c62"/>
    <w:rPr/>
  </w:style>
  <w:style w:type="character" w:styleId="Char2" w:customStyle="1">
    <w:name w:val="Υποσέλιδο Char"/>
    <w:basedOn w:val="DefaultParagraphFont"/>
    <w:link w:val="Footer"/>
    <w:uiPriority w:val="99"/>
    <w:qFormat/>
    <w:rsid w:val="00540c62"/>
    <w:rPr/>
  </w:style>
  <w:style w:type="character" w:styleId="2Char" w:customStyle="1">
    <w:name w:val="Επικεφαλίδα 2 Char"/>
    <w:basedOn w:val="DefaultParagraphFont"/>
    <w:link w:val="Heading2"/>
    <w:qFormat/>
    <w:rsid w:val="003a511b"/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character" w:styleId="4Char" w:customStyle="1">
    <w:name w:val="Επικεφαλίδα 4 Char"/>
    <w:basedOn w:val="DefaultParagraphFont"/>
    <w:link w:val="Heading4"/>
    <w:qFormat/>
    <w:rsid w:val="003a511b"/>
    <w:rPr>
      <w:rFonts w:ascii="Times New Roman" w:hAnsi="Times New Roman" w:eastAsia="Times New Roman" w:cs="Times New Roman"/>
      <w:b/>
      <w:bCs/>
      <w:sz w:val="28"/>
      <w:szCs w:val="24"/>
      <w:lang w:eastAsia="el-GR"/>
    </w:rPr>
  </w:style>
  <w:style w:type="character" w:styleId="Style12" w:customStyle="1">
    <w:name w:val="Σύνδεσμος διαδικτύου"/>
    <w:basedOn w:val="DefaultParagraphFont"/>
    <w:uiPriority w:val="99"/>
    <w:unhideWhenUsed/>
    <w:rsid w:val="00f225c0"/>
    <w:rPr>
      <w:color w:val="0000FF"/>
      <w:u w:val="single"/>
    </w:rPr>
  </w:style>
  <w:style w:type="character" w:styleId="Char3" w:customStyle="1">
    <w:name w:val="Απλό κείμενο Char"/>
    <w:basedOn w:val="DefaultParagraphFont"/>
    <w:link w:val="a5"/>
    <w:uiPriority w:val="99"/>
    <w:qFormat/>
    <w:rsid w:val="00a82607"/>
    <w:rPr>
      <w:rFonts w:ascii="Consolas" w:hAnsi="Consolas" w:eastAsia="Calibri" w:eastAsiaTheme="minorHAnsi"/>
      <w:sz w:val="21"/>
      <w:szCs w:val="21"/>
    </w:rPr>
  </w:style>
  <w:style w:type="character" w:styleId="Strong">
    <w:name w:val="Strong"/>
    <w:basedOn w:val="DefaultParagraphFont"/>
    <w:uiPriority w:val="22"/>
    <w:qFormat/>
    <w:rsid w:val="009f5351"/>
    <w:rPr>
      <w:b/>
      <w:bCs/>
    </w:rPr>
  </w:style>
  <w:style w:type="character" w:styleId="HTMLChar" w:customStyle="1">
    <w:name w:val="Προ-διαμορφωμένο HTML Char"/>
    <w:basedOn w:val="DefaultParagraphFont"/>
    <w:uiPriority w:val="99"/>
    <w:semiHidden/>
    <w:qFormat/>
    <w:rsid w:val="00a22c70"/>
    <w:rPr>
      <w:rFonts w:ascii="Courier New" w:hAnsi="Courier New" w:eastAsia="Times New Roman" w:cs="Courier New"/>
    </w:rPr>
  </w:style>
  <w:style w:type="character" w:styleId="Char4" w:customStyle="1">
    <w:name w:val="Κείμενο σχολίου Char"/>
    <w:link w:val="a7"/>
    <w:uiPriority w:val="34"/>
    <w:qFormat/>
    <w:rsid w:val="0076724c"/>
    <w:rPr>
      <w:sz w:val="22"/>
      <w:szCs w:val="22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d739d"/>
    <w:rPr>
      <w:sz w:val="16"/>
      <w:szCs w:val="16"/>
    </w:rPr>
  </w:style>
  <w:style w:type="character" w:styleId="Char11" w:customStyle="1">
    <w:name w:val="Θέμα σχολίου Char1"/>
    <w:basedOn w:val="DefaultParagraphFont"/>
    <w:link w:val="a9"/>
    <w:uiPriority w:val="99"/>
    <w:semiHidden/>
    <w:qFormat/>
    <w:rsid w:val="007d739d"/>
    <w:rPr>
      <w:lang w:eastAsia="en-US"/>
    </w:rPr>
  </w:style>
  <w:style w:type="character" w:styleId="Char5" w:customStyle="1">
    <w:name w:val="Θέμα σχολίου Char"/>
    <w:basedOn w:val="Char11"/>
    <w:uiPriority w:val="99"/>
    <w:semiHidden/>
    <w:qFormat/>
    <w:rsid w:val="007d739d"/>
    <w:rPr>
      <w:b/>
      <w:bCs/>
    </w:rPr>
  </w:style>
  <w:style w:type="character" w:styleId="IntenseEmphasis">
    <w:name w:val="Intense Emphasis"/>
    <w:qFormat/>
    <w:rsid w:val="00621eba"/>
    <w:rPr>
      <w:b/>
      <w:bCs/>
    </w:rPr>
  </w:style>
  <w:style w:type="paragraph" w:styleId="Style13" w:customStyle="1">
    <w:name w:val="Επικεφαλίδα"/>
    <w:basedOn w:val="Normal"/>
    <w:next w:val="Style14"/>
    <w:qFormat/>
    <w:rsid w:val="00621eba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rsid w:val="00621eba"/>
    <w:pPr>
      <w:spacing w:before="0" w:after="140"/>
    </w:pPr>
    <w:rPr/>
  </w:style>
  <w:style w:type="paragraph" w:styleId="Style15">
    <w:name w:val="List"/>
    <w:basedOn w:val="Style14"/>
    <w:rsid w:val="00621eba"/>
    <w:pPr/>
    <w:rPr>
      <w:rFonts w:cs="Lohit Devanagari"/>
    </w:rPr>
  </w:style>
  <w:style w:type="paragraph" w:styleId="Style16" w:customStyle="1">
    <w:name w:val="Caption"/>
    <w:basedOn w:val="Normal"/>
    <w:qFormat/>
    <w:rsid w:val="00621eb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 w:customStyle="1">
    <w:name w:val="Ευρετήριο"/>
    <w:basedOn w:val="Normal"/>
    <w:qFormat/>
    <w:rsid w:val="00621eba"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073a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942"/>
    <w:pPr>
      <w:spacing w:before="0" w:after="200"/>
      <w:ind w:left="720" w:hanging="0"/>
      <w:contextualSpacing/>
    </w:pPr>
    <w:rPr/>
  </w:style>
  <w:style w:type="paragraph" w:styleId="Style18">
    <w:name w:val="Κεφαλίδα και υποσέλιδο"/>
    <w:basedOn w:val="Normal"/>
    <w:qFormat/>
    <w:pPr/>
    <w:rPr/>
  </w:style>
  <w:style w:type="paragraph" w:styleId="Style19" w:customStyle="1">
    <w:name w:val="Header"/>
    <w:basedOn w:val="Normal"/>
    <w:link w:val="Char0"/>
    <w:semiHidden/>
    <w:unhideWhenUsed/>
    <w:rsid w:val="00540c62"/>
    <w:pPr>
      <w:tabs>
        <w:tab w:val="clear" w:pos="567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0" w:customStyle="1">
    <w:name w:val="Footer"/>
    <w:basedOn w:val="Normal"/>
    <w:link w:val="Char1"/>
    <w:uiPriority w:val="99"/>
    <w:unhideWhenUsed/>
    <w:rsid w:val="00540c62"/>
    <w:pPr>
      <w:tabs>
        <w:tab w:val="clear" w:pos="567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Char2"/>
    <w:uiPriority w:val="99"/>
    <w:unhideWhenUsed/>
    <w:qFormat/>
    <w:rsid w:val="00a82607"/>
    <w:pPr>
      <w:spacing w:lineRule="auto" w:line="240" w:before="0" w:after="0"/>
    </w:pPr>
    <w:rPr>
      <w:rFonts w:ascii="Consolas" w:hAnsi="Consolas" w:eastAsia="Calibri" w:eastAsiaTheme="minorHAnsi"/>
      <w:sz w:val="21"/>
      <w:szCs w:val="21"/>
      <w:lang w:eastAsia="el-GR"/>
    </w:rPr>
  </w:style>
  <w:style w:type="paragraph" w:styleId="21" w:customStyle="1">
    <w:name w:val="Σώμα κείμενου με εσοχή 21"/>
    <w:basedOn w:val="Normal"/>
    <w:qFormat/>
    <w:rsid w:val="002235a0"/>
    <w:pPr>
      <w:suppressAutoHyphens w:val="true"/>
      <w:spacing w:lineRule="auto" w:line="240" w:before="0" w:after="0"/>
      <w:ind w:left="993" w:hanging="993"/>
      <w:jc w:val="both"/>
    </w:pPr>
    <w:rPr>
      <w:rFonts w:ascii="Times New Roman" w:hAnsi="Times New Roman" w:eastAsia="Times New Roman"/>
      <w:b/>
      <w:sz w:val="24"/>
      <w:szCs w:val="20"/>
      <w:lang w:eastAsia="zh-CN"/>
    </w:rPr>
  </w:style>
  <w:style w:type="paragraph" w:styleId="HTMLPreformatted">
    <w:name w:val="HTML Preformatted"/>
    <w:basedOn w:val="Normal"/>
    <w:uiPriority w:val="99"/>
    <w:semiHidden/>
    <w:unhideWhenUsed/>
    <w:qFormat/>
    <w:rsid w:val="00a22c70"/>
    <w:pPr>
      <w:tabs>
        <w:tab w:val="clear" w:pos="567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el-GR"/>
    </w:rPr>
  </w:style>
  <w:style w:type="paragraph" w:styleId="Annotationtext">
    <w:name w:val="annotation text"/>
    <w:basedOn w:val="Normal"/>
    <w:link w:val="Char3"/>
    <w:uiPriority w:val="99"/>
    <w:semiHidden/>
    <w:unhideWhenUsed/>
    <w:qFormat/>
    <w:rsid w:val="007d739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har10"/>
    <w:uiPriority w:val="99"/>
    <w:semiHidden/>
    <w:unhideWhenUsed/>
    <w:qFormat/>
    <w:rsid w:val="007d739d"/>
    <w:pPr/>
    <w:rPr>
      <w:b/>
      <w:bCs/>
    </w:rPr>
  </w:style>
  <w:style w:type="paragraph" w:styleId="Style21" w:customStyle="1">
    <w:name w:val="Περιεχόμενα πίνακα"/>
    <w:basedOn w:val="Normal"/>
    <w:qFormat/>
    <w:rsid w:val="00621eba"/>
    <w:pPr>
      <w:suppressLineNumbers/>
    </w:pPr>
    <w:rPr/>
  </w:style>
  <w:style w:type="paragraph" w:styleId="Style22" w:customStyle="1">
    <w:name w:val="Επικεφαλίδα πίνακα"/>
    <w:basedOn w:val="Style21"/>
    <w:qFormat/>
    <w:rsid w:val="00621eba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e30a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ACD1B-9181-45C6-8B29-B9D2E446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5</Pages>
  <Words>872</Words>
  <Characters>5506</Characters>
  <CharactersWithSpaces>6693</CharactersWithSpaces>
  <Paragraphs>88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2020-11-20T12:20:00Z</dcterms:created>
  <dc:creator>user5</dc:creator>
  <dc:description/>
  <dc:language>el-GR</dc:language>
  <cp:lastModifiedBy>user</cp:lastModifiedBy>
  <cp:lastPrinted>2020-11-19T15:00:00Z</cp:lastPrinted>
  <dcterms:modified xsi:type="dcterms:W3CDTF">2020-11-20T12:20:00Z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